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7776CA">
        <w:rPr>
          <w:sz w:val="26"/>
          <w:szCs w:val="26"/>
        </w:rPr>
        <w:t xml:space="preserve"> GUERRIERI Luigi </w:t>
      </w:r>
      <w:r w:rsidR="00CD08AC">
        <w:rPr>
          <w:sz w:val="26"/>
          <w:szCs w:val="26"/>
        </w:rPr>
        <w:t>nato</w:t>
      </w:r>
      <w:r w:rsidR="007776CA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a </w:t>
      </w:r>
      <w:r w:rsidR="007776CA">
        <w:rPr>
          <w:sz w:val="26"/>
          <w:szCs w:val="26"/>
        </w:rPr>
        <w:t xml:space="preserve">Catanzaro </w:t>
      </w:r>
      <w:r>
        <w:rPr>
          <w:sz w:val="26"/>
          <w:szCs w:val="26"/>
        </w:rPr>
        <w:t>il</w:t>
      </w:r>
      <w:r w:rsidR="007776CA">
        <w:rPr>
          <w:sz w:val="26"/>
          <w:szCs w:val="26"/>
        </w:rPr>
        <w:t xml:space="preserve"> 02.10.1975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7776CA">
        <w:rPr>
          <w:sz w:val="26"/>
          <w:szCs w:val="26"/>
        </w:rPr>
        <w:t xml:space="preserve"> dirigente in posizione di staff presso la Prefettura di Catanzaro nonché reggente dell’area IV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7776CA">
        <w:rPr>
          <w:sz w:val="26"/>
          <w:szCs w:val="26"/>
        </w:rPr>
        <w:t>aver svolto nell’anno 2018</w:t>
      </w:r>
      <w:r w:rsidR="006377F0">
        <w:rPr>
          <w:sz w:val="26"/>
          <w:szCs w:val="26"/>
        </w:rPr>
        <w:t xml:space="preserve">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7776CA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>(</w:t>
      </w:r>
      <w:r w:rsidR="007776CA">
        <w:rPr>
          <w:sz w:val="24"/>
          <w:szCs w:val="24"/>
        </w:rPr>
        <w:t xml:space="preserve">Componente della Commissione straordinaria di Ente locale ex art. 143 </w:t>
      </w:r>
      <w:proofErr w:type="spellStart"/>
      <w:r w:rsidR="007776CA">
        <w:rPr>
          <w:sz w:val="24"/>
          <w:szCs w:val="24"/>
        </w:rPr>
        <w:t>dl.gvo</w:t>
      </w:r>
      <w:proofErr w:type="spellEnd"/>
      <w:r w:rsidR="007776CA">
        <w:rPr>
          <w:sz w:val="24"/>
          <w:szCs w:val="24"/>
        </w:rPr>
        <w:t xml:space="preserve"> 267/2000   </w:t>
      </w:r>
      <w:r w:rsidR="006377F0" w:rsidRPr="00B864EB">
        <w:rPr>
          <w:sz w:val="24"/>
          <w:szCs w:val="24"/>
        </w:rPr>
        <w:t>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7776CA">
        <w:rPr>
          <w:sz w:val="24"/>
          <w:szCs w:val="24"/>
        </w:rPr>
        <w:t xml:space="preserve"> 15.000,00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Pr="00B864EB" w:rsidRDefault="00B864EB" w:rsidP="007776CA">
      <w:pPr>
        <w:ind w:left="-426" w:right="-425"/>
        <w:jc w:val="both"/>
        <w:rPr>
          <w:sz w:val="24"/>
          <w:szCs w:val="24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7776CA">
        <w:rPr>
          <w:sz w:val="26"/>
          <w:szCs w:val="26"/>
        </w:rPr>
        <w:t>27.11.2019</w:t>
      </w:r>
      <w:bookmarkStart w:id="0" w:name="_GoBack"/>
      <w:bookmarkEnd w:id="0"/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3B" w:rsidRDefault="0092453B">
      <w:r>
        <w:separator/>
      </w:r>
    </w:p>
  </w:endnote>
  <w:endnote w:type="continuationSeparator" w:id="0">
    <w:p w:rsidR="0092453B" w:rsidRDefault="0092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3B" w:rsidRDefault="0092453B">
      <w:r>
        <w:separator/>
      </w:r>
    </w:p>
  </w:footnote>
  <w:footnote w:type="continuationSeparator" w:id="0">
    <w:p w:rsidR="0092453B" w:rsidRDefault="0092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776C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BB6A-24FE-4486-AB00-C134999F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Luigi Guerrieri</cp:lastModifiedBy>
  <cp:revision>2</cp:revision>
  <cp:lastPrinted>2017-03-21T12:02:00Z</cp:lastPrinted>
  <dcterms:created xsi:type="dcterms:W3CDTF">2019-11-27T14:45:00Z</dcterms:created>
  <dcterms:modified xsi:type="dcterms:W3CDTF">2019-11-27T14:45:00Z</dcterms:modified>
</cp:coreProperties>
</file>