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305B0">
        <w:trPr>
          <w:trHeight w:val="850"/>
        </w:trPr>
        <w:tc>
          <w:tcPr>
            <w:tcW w:w="2802" w:type="dxa"/>
          </w:tcPr>
          <w:p w:rsidR="001B4909" w:rsidRDefault="001B4909" w:rsidP="00C305B0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305B0">
            <w:pPr>
              <w:jc w:val="right"/>
              <w:rPr>
                <w:rFonts w:ascii="Arial" w:hAnsi="Arial" w:cs="Arial"/>
                <w:b/>
              </w:rPr>
            </w:pPr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Silvana Merenda</w:t>
            </w:r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01/02/1961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Viceprefetto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Vibo Valentia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C14976">
            <w:pPr>
              <w:ind w:left="317" w:hanging="175"/>
            </w:pPr>
            <w:r>
              <w:t xml:space="preserve">Dirigente Area </w:t>
            </w:r>
            <w:r w:rsidRPr="00EA57E2">
              <w:rPr>
                <w:rFonts w:ascii="Calibri" w:hAnsi="Calibri"/>
              </w:rPr>
              <w:t>II Raccordo con gli Enti locali,</w:t>
            </w:r>
            <w:r w:rsidR="00C14976">
              <w:rPr>
                <w:rFonts w:ascii="Calibri" w:hAnsi="Calibri"/>
              </w:rPr>
              <w:t xml:space="preserve"> </w:t>
            </w:r>
            <w:r w:rsidRPr="00EA57E2">
              <w:rPr>
                <w:rFonts w:ascii="Calibri" w:hAnsi="Calibri"/>
              </w:rPr>
              <w:t>consultazioni elettorali</w:t>
            </w:r>
            <w:r w:rsidR="00C14976">
              <w:rPr>
                <w:rFonts w:ascii="Calibri" w:hAnsi="Calibri"/>
              </w:rPr>
              <w:t xml:space="preserve"> con decorrenza dal 30/1/2017al 30/1/2019</w:t>
            </w: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EA57E2">
            <w:pPr>
              <w:ind w:left="317" w:hanging="175"/>
            </w:pPr>
            <w:r>
              <w:t>0963 965452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entilocali.prefvv@pec.interno.it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EA57E2" w:rsidP="00AE0138">
            <w:pPr>
              <w:ind w:left="317" w:hanging="175"/>
            </w:pPr>
            <w:r>
              <w:t>silvana.merenda@interno.it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EA57E2" w:rsidP="00EA57E2">
            <w:pPr>
              <w:ind w:left="317" w:hanging="175"/>
            </w:pPr>
            <w:r>
              <w:t>Laurea in giurisprudenza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A2222D" w:rsidRDefault="00A2222D" w:rsidP="00EA57E2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EA57E2">
              <w:rPr>
                <w:rFonts w:ascii="Calibri" w:eastAsia="Calibri" w:hAnsi="Calibri" w:cs="Times New Roman"/>
                <w:lang w:eastAsia="en-US"/>
              </w:rPr>
              <w:t>Iscrizione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>Albo docenti SSAI per l’insegnamento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>di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>materie giuridiche.</w:t>
            </w:r>
          </w:p>
          <w:p w:rsidR="00EA57E2" w:rsidRPr="00EA57E2" w:rsidRDefault="00EA57E2" w:rsidP="00EA57E2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EA57E2">
              <w:rPr>
                <w:rFonts w:ascii="Calibri" w:eastAsia="Calibri" w:hAnsi="Calibri" w:cs="Times New Roman"/>
                <w:lang w:eastAsia="en-US"/>
              </w:rPr>
              <w:t>Modulo Speciale di Formazione in Management Sanitario conseguito in data 07-03-2002 presso la Facoltà di Giurisprudenza dell’Università</w:t>
            </w:r>
            <w:r w:rsidR="00FA35F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>di Messina,</w:t>
            </w:r>
            <w:r w:rsidR="00A2222D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 w:rsidRPr="00EA57E2">
              <w:rPr>
                <w:rFonts w:ascii="Calibri" w:eastAsia="Calibri" w:hAnsi="Calibri" w:cs="Times New Roman"/>
                <w:lang w:eastAsia="en-US"/>
              </w:rPr>
              <w:t>Desat</w:t>
            </w:r>
            <w:proofErr w:type="spellEnd"/>
            <w:r w:rsidRPr="00EA57E2">
              <w:rPr>
                <w:rFonts w:ascii="Calibri" w:eastAsia="Calibri" w:hAnsi="Calibri" w:cs="Times New Roman"/>
                <w:lang w:eastAsia="en-US"/>
              </w:rPr>
              <w:t>-Sezione Economia e Finanze, con la valutazione</w:t>
            </w:r>
            <w:r w:rsidR="00A2222D">
              <w:rPr>
                <w:rFonts w:ascii="Calibri" w:eastAsia="Calibri" w:hAnsi="Calibri" w:cs="Times New Roman"/>
                <w:lang w:eastAsia="en-US"/>
              </w:rPr>
              <w:t xml:space="preserve"> complessiva di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 xml:space="preserve"> Pieno Merito.</w:t>
            </w:r>
          </w:p>
          <w:p w:rsidR="00EA57E2" w:rsidRPr="00EA57E2" w:rsidRDefault="00EA57E2" w:rsidP="00EA57E2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EA57E2">
              <w:rPr>
                <w:rFonts w:ascii="Calibri" w:eastAsia="Calibri" w:hAnsi="Calibri" w:cs="Times New Roman"/>
                <w:lang w:eastAsia="en-US"/>
              </w:rPr>
              <w:t xml:space="preserve">Master Universitario di II livello in Bioetica e Sessuologia col voto di 108/110 (magna </w:t>
            </w:r>
            <w:proofErr w:type="spellStart"/>
            <w:r w:rsidRPr="00EA57E2">
              <w:rPr>
                <w:rFonts w:ascii="Calibri" w:eastAsia="Calibri" w:hAnsi="Calibri" w:cs="Times New Roman"/>
                <w:lang w:eastAsia="en-US"/>
              </w:rPr>
              <w:t>cum</w:t>
            </w:r>
            <w:proofErr w:type="spellEnd"/>
            <w:r w:rsidRPr="00EA57E2">
              <w:rPr>
                <w:rFonts w:ascii="Calibri" w:eastAsia="Calibri" w:hAnsi="Calibri" w:cs="Times New Roman"/>
                <w:lang w:eastAsia="en-US"/>
              </w:rPr>
              <w:t xml:space="preserve"> laude) rilasciato in data 27/11/2004 dalla Scuola Superiore di Specializzazione in Bioetica e Sessuologia di Messina.</w:t>
            </w:r>
          </w:p>
          <w:p w:rsidR="00EA57E2" w:rsidRDefault="00EA57E2" w:rsidP="00A2222D">
            <w:pPr>
              <w:widowControl w:val="0"/>
              <w:jc w:val="both"/>
            </w:pPr>
            <w:r w:rsidRPr="00EA57E2">
              <w:rPr>
                <w:rFonts w:ascii="Calibri" w:eastAsia="Calibri" w:hAnsi="Calibri" w:cs="Times New Roman"/>
                <w:lang w:eastAsia="en-US"/>
              </w:rPr>
              <w:t>Master Universitario di II livello conseguito il 26/10/2006 presso la SSAI in</w:t>
            </w:r>
            <w:r w:rsidR="00FA35F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EA57E2">
              <w:rPr>
                <w:rFonts w:ascii="Calibri" w:eastAsia="Calibri" w:hAnsi="Calibri" w:cs="Times New Roman"/>
                <w:lang w:eastAsia="en-US"/>
              </w:rPr>
              <w:t>Etica dell’Azione pubblica.</w:t>
            </w: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b/>
                <w:lang w:eastAsia="en-US"/>
              </w:rPr>
              <w:t>Prefettura di Reggio Calabria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Dal 1992 Componente effettivo della Sottocommissione elettorale circondariale di Villa San Giovanni.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Dal 31-1-1994 Segretario della Commissione provinciale consultiva per la graduazione degli sfratti.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Segretario della Commissione provinciale collaudi depositi di minerali.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Funzionario incaricato della rappresentanza e difesa nei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lastRenderedPageBreak/>
              <w:t>giudizi pretorili in materia di depenalizzazione (dal marzo 1994) ed invalidità civile (dal giugno 1998).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Dal 1994 Segretario della Giunta Provinciale Amministrativa.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Componente e Segretario di varie Commissione di concorsi dell’Amministrazione Civile dell’Interno ed Enti locali.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Componente Commissione di scarto atti d’archivio e sorveglianza uffici vari.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Con decreto prefettizio del 26-1-98 nominata Commissario Prefettizio per la gestione provvisoria del Comune di San Procopio.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Dal 28-1-99, Funzionario designato all’attuazione delle misure di prevenzione sul  luogo di lavoro ai sensi del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D.lgs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626/94 fino al dicembre 2004.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Funzionario preposto a diverse esercitazioni di protezione civile e difesa civile.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Funzionario incaricato delle funzioni inerenti la vidimazione e la verificazione dei registri di stato civile nei Comuni della Provincia di Reggio Calabria.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Ispettore elettorale,</w:t>
            </w:r>
            <w:r w:rsidR="00C1497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anagrafico ed AIRE nei Comuni della Provincia.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Dal 18-07-02 Componente </w:t>
            </w:r>
            <w:r w:rsidR="000E4CC2" w:rsidRPr="00FA35F1">
              <w:rPr>
                <w:rFonts w:ascii="Calibri" w:eastAsia="Calibri" w:hAnsi="Calibri" w:cs="Times New Roman"/>
                <w:lang w:eastAsia="en-US"/>
              </w:rPr>
              <w:t xml:space="preserve">Commissione Licenze </w:t>
            </w:r>
            <w:r w:rsidR="000E4CC2">
              <w:rPr>
                <w:rFonts w:ascii="Calibri" w:eastAsia="Calibri" w:hAnsi="Calibri" w:cs="Times New Roman"/>
                <w:lang w:eastAsia="en-US"/>
              </w:rPr>
              <w:t xml:space="preserve">e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Commissione Consultiva Albo Autotrasportatori di cose per conto terzi </w:t>
            </w:r>
            <w:r w:rsidR="000E4CC2" w:rsidRPr="00FA35F1">
              <w:rPr>
                <w:rFonts w:ascii="Calibri" w:eastAsia="Calibri" w:hAnsi="Calibri" w:cs="Times New Roman"/>
                <w:lang w:eastAsia="en-US"/>
              </w:rPr>
              <w:t>Componente presso il Settore trasporti della Provincia di Reggio Calabria fino al dicembre 2004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E’iscritta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all’Albo docenti della SSAI ed in tale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qualita’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ha organizza</w:t>
            </w:r>
            <w:r w:rsidR="00C14976">
              <w:rPr>
                <w:rFonts w:ascii="Calibri" w:eastAsia="Calibri" w:hAnsi="Calibri" w:cs="Times New Roman"/>
                <w:lang w:eastAsia="en-US"/>
              </w:rPr>
              <w:t>t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o,</w:t>
            </w:r>
            <w:r w:rsidR="00C1497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in convenzione con l’Anusca,</w:t>
            </w:r>
            <w:r w:rsidR="00C14976">
              <w:rPr>
                <w:rFonts w:ascii="Calibri" w:eastAsia="Calibri" w:hAnsi="Calibri" w:cs="Times New Roman"/>
                <w:lang w:eastAsia="en-US"/>
              </w:rPr>
              <w:t xml:space="preserve"> i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l Corso di Formazione Professionale per ufficiali di stato civile ed anagrafe anno 2002, svolto dal 02 al 13 dicembre 2002.</w:t>
            </w:r>
          </w:p>
          <w:p w:rsidR="00FA35F1" w:rsidRPr="00FA35F1" w:rsidRDefault="00C14976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E’ stata </w:t>
            </w:r>
            <w:r w:rsidR="00FA35F1" w:rsidRPr="00FA35F1">
              <w:rPr>
                <w:rFonts w:ascii="Calibri" w:eastAsia="Calibri" w:hAnsi="Calibri" w:cs="Times New Roman"/>
                <w:lang w:eastAsia="en-US"/>
              </w:rPr>
              <w:t>Docente allo stesso Corso ANUSCA nelle giornate del 03-12-2002 e del 12/12/02 e Componente Commissione giudicatrice esame finale dei partecipanti (n. 50 dipendenti comunali) nella giornata del 24-06-03.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b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A35F1">
              <w:rPr>
                <w:rFonts w:ascii="Calibri" w:eastAsia="Calibri" w:hAnsi="Calibri" w:cs="Times New Roman"/>
                <w:b/>
                <w:lang w:eastAsia="en-US"/>
              </w:rPr>
              <w:t xml:space="preserve">Prefettura di Messina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Svolgimento di incarichi di rappresentanza istituzionale in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Citta’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e in Comuni della Provincia per delega del Sig. Prefetto.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Componente Commissione di scarto atti d’archivio</w:t>
            </w:r>
            <w:r w:rsidR="00C14976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>e</w:t>
            </w:r>
            <w:r w:rsidR="00C14976">
              <w:rPr>
                <w:rFonts w:ascii="Calibri" w:eastAsia="Calibri" w:hAnsi="Calibri" w:cs="Times New Roman"/>
                <w:lang w:eastAsia="en-US"/>
              </w:rPr>
              <w:t xml:space="preserve"> di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sorveglianza uffici vari.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Ha coordinato come dirigente dell’Area III il Gruppo di lavoro misto per la redazione, ai sensi dell’art. 20 del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dlgs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n. 334/99, dei piani di emergenza esterni degli impianti a rischio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Ultragas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spa,  Raffineria di Milazzo spa, Esi spa.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Docente del corso Anusca di abilitazione per ufficiali di stato civile in data 10/11/2005.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Docente al corso di formazione decentrata di diritto amministrativo dei dipendenti in data 23/11/2006 presso l’Istituto tecnico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Jaci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di Messina.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Presidente della Commissione elettorale circondariale di Patti, sede di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S.Agata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Militello, con decreto n. 168/2005 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Presidente della Quinta Sottocommissione Elettorale Circondariale sede di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S.Teresa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di Riva con decreto n. 166/07 del 13/11/2007.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Designazione Componente del Consiglio di Amministrazione dell’Opera Pia Casa di  Ospitalità Cortese Capizzi Basile del 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lastRenderedPageBreak/>
              <w:t>Comune di Sant’Angelo di Brolo con decreto prefettizio del 2010.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Designazione Componente del Consiglio di Amministrazione della Fondazione ‘’Città del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Ragazzo’’del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Comune di Messina con decreto prefettizio del 2011.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Componente Commissione prefettizia per la provvisoria amministrazione del Comune di Mongiana (VV) nominata ai sensi dell’art. 143 c. 12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dlgs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n. 267/00 con decreto del Prefetto di Vibo Valentia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prot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>. n. 21564/ENTILOC.12 del 6/7/2012.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Componente della Commissione straordinaria per la gestione del Comune di Mongiana (VV),  nominata ai sensi dell’art. 143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Dlgs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n. 267/00 con decreto del Presidente della Repubblica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prot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. n.1741 del 30/7/2012, fino al 27/5/2014 data di ricostituzione degli organi elettivi sciolti, a seguito delle elezioni amministrative del 25 e 26 Maggio 2014. </w:t>
            </w:r>
          </w:p>
          <w:p w:rsidR="00FA35F1" w:rsidRP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Incarico di Commissario Straordinario presso il Comune di Mazzarrà Sant’Andrea, con le funzioni del Consiglio comunale, con Decreto di nomina del Presidente della Regione Siciliana n. 265/Serv.1°/S.G. del 9/9/2014.  </w:t>
            </w:r>
          </w:p>
          <w:p w:rsid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Incarico di delega alla sottoscrizione dei provvedimenti di espulsione amministrativa di cui al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Dlgs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n. 286/98 con decreto prefettizio n.33573/12/GAB del 16/11/2012, confermato con successivi  decreti prefettizi.</w:t>
            </w:r>
          </w:p>
          <w:p w:rsidR="009B2C2A" w:rsidRPr="00FA35F1" w:rsidRDefault="009B2C2A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Componente supplente della Commissione per il rilascio delle licenze in conto proprio ai sensi dell’art. 33 della l. 298/74 presso il Servizio provinciale della Motorizzazione Civile di Messina con Decreto dell’Assessorato delle Infrastrutture e della </w:t>
            </w:r>
            <w:proofErr w:type="spellStart"/>
            <w:r w:rsidRPr="00FA35F1">
              <w:rPr>
                <w:rFonts w:ascii="Calibri" w:eastAsia="Calibri" w:hAnsi="Calibri" w:cs="Times New Roman"/>
                <w:lang w:eastAsia="en-US"/>
              </w:rPr>
              <w:t>Mobilita’</w:t>
            </w:r>
            <w:proofErr w:type="spellEnd"/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della Regione Siciliana n.2952/Area 6 del 25/11/2010 e nomina quale componente effettivo della Commissione con decreto del D.D.G. n. 581/Area 6 del 31/3/2014</w:t>
            </w:r>
            <w:r w:rsidRPr="00FA35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A35F1" w:rsidRDefault="00FA35F1" w:rsidP="00FA35F1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A35F1">
              <w:rPr>
                <w:rFonts w:ascii="Calibri" w:eastAsia="Calibri" w:hAnsi="Calibri" w:cs="Times New Roman"/>
                <w:lang w:eastAsia="en-US"/>
              </w:rPr>
              <w:t>Componente con decreto prefettizio del 14/4/2015  della Commissione per l’espletamento della  procedura di alienazione straordinaria dei veicoli giacenti presso le depositerie autorizzate ai sensi dell’art. 1 della L. 27 dicembre 2013 n. 147, commi 444, 445, 446, 447, 448, 449 e 450.</w:t>
            </w:r>
          </w:p>
          <w:p w:rsidR="004C31E3" w:rsidRPr="00C14976" w:rsidRDefault="004C31E3" w:rsidP="004C31E3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>Incarico con decreto del Ministro dell’Interno del 21/7/2015 di Componente supplente della Commissione territoriale per il riconoscimento della protezione internazionale, Sezione  di Catania.</w:t>
            </w:r>
          </w:p>
          <w:p w:rsidR="00263A21" w:rsidRDefault="00FA35F1" w:rsidP="004C31E3">
            <w:pPr>
              <w:widowControl w:val="0"/>
              <w:jc w:val="both"/>
            </w:pPr>
            <w:bookmarkStart w:id="0" w:name="_GoBack"/>
            <w:bookmarkEnd w:id="0"/>
            <w:r w:rsidRPr="00FA35F1">
              <w:rPr>
                <w:rFonts w:ascii="Calibri" w:eastAsia="Calibri" w:hAnsi="Calibri" w:cs="Times New Roman"/>
                <w:lang w:eastAsia="en-US"/>
              </w:rPr>
              <w:t>Presidente come dirigente dell’Area I bis</w:t>
            </w:r>
            <w:r w:rsidR="009B2C2A">
              <w:rPr>
                <w:rFonts w:ascii="Calibri" w:eastAsia="Calibri" w:hAnsi="Calibri" w:cs="Times New Roman"/>
                <w:lang w:eastAsia="en-US"/>
              </w:rPr>
              <w:t xml:space="preserve"> dal 19 ottobre 2015</w:t>
            </w:r>
            <w:r w:rsidRPr="00FA35F1">
              <w:rPr>
                <w:rFonts w:ascii="Calibri" w:eastAsia="Calibri" w:hAnsi="Calibri" w:cs="Times New Roman"/>
                <w:lang w:eastAsia="en-US"/>
              </w:rPr>
              <w:t xml:space="preserve"> del Tavolo Tecnico per il controllo straordinario ed il monitoraggio degli istituti di vigilanza privata autorizzati ai sensi dell’art. 134 del testo unico delle leggi di pubblica sicurezza.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C14976" w:rsidP="00AE0138">
                  <w:pPr>
                    <w:ind w:left="317" w:hanging="175"/>
                  </w:pPr>
                  <w:r>
                    <w:t>francese</w:t>
                  </w:r>
                </w:p>
              </w:tc>
              <w:tc>
                <w:tcPr>
                  <w:tcW w:w="2268" w:type="dxa"/>
                </w:tcPr>
                <w:p w:rsidR="00263A21" w:rsidRDefault="00C14976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263A21" w:rsidRDefault="00C14976" w:rsidP="00AE0138">
                  <w:pPr>
                    <w:ind w:left="317" w:hanging="175"/>
                  </w:pPr>
                  <w:r>
                    <w:t>ottimo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9B2C2A">
            <w:pPr>
              <w:jc w:val="right"/>
            </w:pPr>
            <w:r>
              <w:t>Capacità nell’ uso delle tecnologie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C14976" w:rsidP="00AE0138">
            <w:pPr>
              <w:ind w:left="317" w:hanging="175"/>
            </w:pPr>
            <w:r>
              <w:t>adeguata</w:t>
            </w:r>
          </w:p>
        </w:tc>
      </w:tr>
      <w:tr w:rsidR="00263A21" w:rsidRPr="00C14976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Pr="00C14976" w:rsidRDefault="00263A21" w:rsidP="00263A21">
            <w:pPr>
              <w:jc w:val="right"/>
              <w:rPr>
                <w:rFonts w:ascii="Calibri" w:hAnsi="Calibri"/>
              </w:rPr>
            </w:pPr>
            <w:r w:rsidRPr="00C14976">
              <w:rPr>
                <w:rFonts w:ascii="Calibri" w:hAnsi="Calibri"/>
              </w:rPr>
              <w:t xml:space="preserve">Altro ( partecipazione a </w:t>
            </w:r>
            <w:r w:rsidRPr="00C14976">
              <w:rPr>
                <w:rFonts w:ascii="Calibri" w:hAnsi="Calibri"/>
              </w:rPr>
              <w:lastRenderedPageBreak/>
              <w:t>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Pr="00C14976" w:rsidRDefault="00263A21" w:rsidP="004D3C55">
            <w:pPr>
              <w:rPr>
                <w:rFonts w:ascii="Calibri" w:hAnsi="Calibri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D64674" w:rsidRPr="00D64674" w:rsidRDefault="00D64674" w:rsidP="00D64674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D64674">
              <w:rPr>
                <w:rFonts w:ascii="Calibri" w:eastAsia="Calibri" w:hAnsi="Calibri" w:cs="Times New Roman"/>
                <w:lang w:eastAsia="en-US"/>
              </w:rPr>
              <w:t xml:space="preserve">Ha partecipato a corsi e seminari presso la Scuola superiore </w:t>
            </w:r>
            <w:r w:rsidRPr="00D64674">
              <w:rPr>
                <w:rFonts w:ascii="Calibri" w:eastAsia="Calibri" w:hAnsi="Calibri" w:cs="Times New Roman"/>
                <w:lang w:eastAsia="en-US"/>
              </w:rPr>
              <w:lastRenderedPageBreak/>
              <w:t>dell’amministrazione dell’Interno</w:t>
            </w:r>
            <w:r w:rsidR="009B2C2A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D64674">
              <w:rPr>
                <w:rFonts w:ascii="Calibri" w:eastAsia="Calibri" w:hAnsi="Calibri" w:cs="Times New Roman"/>
                <w:lang w:eastAsia="en-US"/>
              </w:rPr>
              <w:t xml:space="preserve">ora </w:t>
            </w:r>
            <w:proofErr w:type="spellStart"/>
            <w:r w:rsidRPr="00D64674">
              <w:rPr>
                <w:rFonts w:ascii="Calibri" w:eastAsia="Calibri" w:hAnsi="Calibri" w:cs="Times New Roman"/>
                <w:lang w:eastAsia="en-US"/>
              </w:rPr>
              <w:t>Sna</w:t>
            </w:r>
            <w:proofErr w:type="spellEnd"/>
            <w:r w:rsidRPr="00D64674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relativi a </w:t>
            </w:r>
            <w:r w:rsidRPr="00D64674">
              <w:rPr>
                <w:rFonts w:ascii="Calibri" w:eastAsia="Calibri" w:hAnsi="Calibri" w:cs="Times New Roman"/>
                <w:lang w:eastAsia="en-US"/>
              </w:rPr>
              <w:t>diverse materie di competenza istituzionale.</w:t>
            </w:r>
          </w:p>
          <w:p w:rsidR="00D64674" w:rsidRDefault="00D64674" w:rsidP="00C14976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D64674">
              <w:rPr>
                <w:rFonts w:ascii="Calibri" w:eastAsia="Calibri" w:hAnsi="Calibri" w:cs="Times New Roman"/>
                <w:lang w:eastAsia="en-US"/>
              </w:rPr>
              <w:t xml:space="preserve">Si rammentano i </w:t>
            </w:r>
            <w:proofErr w:type="spellStart"/>
            <w:r w:rsidRPr="00D64674">
              <w:rPr>
                <w:rFonts w:ascii="Calibri" w:eastAsia="Calibri" w:hAnsi="Calibri" w:cs="Times New Roman"/>
                <w:lang w:eastAsia="en-US"/>
              </w:rPr>
              <w:t>piu’</w:t>
            </w:r>
            <w:proofErr w:type="spellEnd"/>
            <w:r w:rsidRPr="00D64674">
              <w:rPr>
                <w:rFonts w:ascii="Calibri" w:eastAsia="Calibri" w:hAnsi="Calibri" w:cs="Times New Roman"/>
                <w:lang w:eastAsia="en-US"/>
              </w:rPr>
              <w:t xml:space="preserve"> recenti e significativi:</w:t>
            </w:r>
          </w:p>
          <w:p w:rsidR="00C14976" w:rsidRPr="00C14976" w:rsidRDefault="00C14976" w:rsidP="00C14976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 xml:space="preserve">il corso specialistico su ‘’Ambiente, urbanistica e gestione dei rifiuti con particolare riferimento alle </w:t>
            </w:r>
            <w:proofErr w:type="spellStart"/>
            <w:r w:rsidRPr="00C14976">
              <w:rPr>
                <w:rFonts w:ascii="Calibri" w:eastAsia="Calibri" w:hAnsi="Calibri" w:cs="Times New Roman"/>
                <w:lang w:eastAsia="en-US"/>
              </w:rPr>
              <w:t>realta’</w:t>
            </w:r>
            <w:proofErr w:type="spellEnd"/>
            <w:r w:rsidRPr="00C14976">
              <w:rPr>
                <w:rFonts w:ascii="Calibri" w:eastAsia="Calibri" w:hAnsi="Calibri" w:cs="Times New Roman"/>
                <w:lang w:eastAsia="en-US"/>
              </w:rPr>
              <w:t xml:space="preserve"> territoriali commissariate ‘’ dal 30/6/2014 al 2/7/2014</w:t>
            </w:r>
          </w:p>
          <w:p w:rsidR="00C14976" w:rsidRPr="00C14976" w:rsidRDefault="00C14976" w:rsidP="00C14976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 xml:space="preserve">il corso di formazione in data 10 e 11 dicembre 2015 su ‘’ La procedura di riconoscimento della protezione internazionale : aspetti pratici e criteri di valutazione’’ nella </w:t>
            </w:r>
            <w:proofErr w:type="spellStart"/>
            <w:r w:rsidRPr="00C14976">
              <w:rPr>
                <w:rFonts w:ascii="Calibri" w:eastAsia="Calibri" w:hAnsi="Calibri" w:cs="Times New Roman"/>
                <w:lang w:eastAsia="en-US"/>
              </w:rPr>
              <w:t>qualita’</w:t>
            </w:r>
            <w:proofErr w:type="spellEnd"/>
            <w:r w:rsidRPr="00C14976">
              <w:rPr>
                <w:rFonts w:ascii="Calibri" w:eastAsia="Calibri" w:hAnsi="Calibri" w:cs="Times New Roman"/>
                <w:lang w:eastAsia="en-US"/>
              </w:rPr>
              <w:t xml:space="preserve"> di Presidente supplente della Commissione territoriale per il riconoscimento della protezione internazionale - Sezione  di Catania</w:t>
            </w:r>
          </w:p>
          <w:p w:rsidR="00C14976" w:rsidRPr="00C14976" w:rsidRDefault="00C14976" w:rsidP="00C14976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 xml:space="preserve">l’incontro relativo al programma ’“OIV-Gestione della performance in rapporto al sistema di web performance delle Prefetture” dal 21 al 22 novembre 2016 .  </w:t>
            </w:r>
          </w:p>
          <w:p w:rsidR="00C14976" w:rsidRPr="00C14976" w:rsidRDefault="00C14976" w:rsidP="00C14976">
            <w:pPr>
              <w:widowControl w:val="0"/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>Ha partecipato al corso specialistico organizzato il 18/12/2014 a Catania, Palazzo dei chierici-Auditorium Libero Grassi dall’ANCISICILIA–UPI(Unione Province d’Italia) e Ministero dell’Interno su</w:t>
            </w:r>
            <w:r w:rsidR="008E7E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C14976">
              <w:rPr>
                <w:rFonts w:ascii="Calibri" w:eastAsia="Calibri" w:hAnsi="Calibri" w:cs="Times New Roman"/>
                <w:lang w:eastAsia="en-US"/>
              </w:rPr>
              <w:t xml:space="preserve">‘’La disciplina della spesa, delle assunzioni e della gestione del personale locale, alla luce delle </w:t>
            </w:r>
            <w:proofErr w:type="spellStart"/>
            <w:r w:rsidRPr="00C14976">
              <w:rPr>
                <w:rFonts w:ascii="Calibri" w:eastAsia="Calibri" w:hAnsi="Calibri" w:cs="Times New Roman"/>
                <w:lang w:eastAsia="en-US"/>
              </w:rPr>
              <w:t>piu’</w:t>
            </w:r>
            <w:proofErr w:type="spellEnd"/>
            <w:r w:rsidRPr="00C14976">
              <w:rPr>
                <w:rFonts w:ascii="Calibri" w:eastAsia="Calibri" w:hAnsi="Calibri" w:cs="Times New Roman"/>
                <w:lang w:eastAsia="en-US"/>
              </w:rPr>
              <w:t xml:space="preserve"> recenti modifiche e integrazioni recate dal D.L.n.101/2013 e dal D.L. n. 90/2014’’</w:t>
            </w:r>
            <w:r w:rsidR="008E7E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C14976">
              <w:rPr>
                <w:rFonts w:ascii="Calibri" w:eastAsia="Calibri" w:hAnsi="Calibri" w:cs="Times New Roman"/>
                <w:lang w:eastAsia="en-US"/>
              </w:rPr>
              <w:t>e</w:t>
            </w:r>
            <w:r w:rsidR="008E7E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C14976">
              <w:rPr>
                <w:rFonts w:ascii="Calibri" w:eastAsia="Calibri" w:hAnsi="Calibri" w:cs="Times New Roman"/>
                <w:lang w:eastAsia="en-US"/>
              </w:rPr>
              <w:t>al corso specialistico organizzato in data 13/10/2015 a Messina Palazzo Zanca–Salone delle Bandiere dall’ANCISICILIA e IFEL Fondazione ANCI su</w:t>
            </w:r>
            <w:r w:rsidR="008E7EB0"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 w:rsidRPr="00C14976">
              <w:rPr>
                <w:rFonts w:ascii="Calibri" w:eastAsia="Calibri" w:hAnsi="Calibri" w:cs="Times New Roman"/>
                <w:lang w:eastAsia="en-US"/>
              </w:rPr>
              <w:t xml:space="preserve">’’Percorsi innovativi dei Comuni -  Funzionamento del </w:t>
            </w:r>
            <w:proofErr w:type="spellStart"/>
            <w:r w:rsidRPr="00C14976">
              <w:rPr>
                <w:rFonts w:ascii="Calibri" w:eastAsia="Calibri" w:hAnsi="Calibri" w:cs="Times New Roman"/>
                <w:lang w:eastAsia="en-US"/>
              </w:rPr>
              <w:t>Mepa</w:t>
            </w:r>
            <w:proofErr w:type="spellEnd"/>
            <w:r w:rsidRPr="00C14976">
              <w:rPr>
                <w:rFonts w:ascii="Calibri" w:eastAsia="Calibri" w:hAnsi="Calibri" w:cs="Times New Roman"/>
                <w:lang w:eastAsia="en-US"/>
              </w:rPr>
              <w:t>’’.</w:t>
            </w:r>
          </w:p>
          <w:p w:rsidR="00263A21" w:rsidRPr="00C14976" w:rsidRDefault="00C14976" w:rsidP="008E7EB0">
            <w:pPr>
              <w:widowControl w:val="0"/>
              <w:jc w:val="both"/>
              <w:rPr>
                <w:rFonts w:ascii="Calibri" w:hAnsi="Calibri"/>
              </w:rPr>
            </w:pPr>
            <w:r w:rsidRPr="00C14976">
              <w:rPr>
                <w:rFonts w:ascii="Calibri" w:eastAsia="Calibri" w:hAnsi="Calibri" w:cs="Times New Roman"/>
                <w:lang w:eastAsia="en-US"/>
              </w:rPr>
              <w:t>Ha svolto inoltre numerosi incarichi di ‘’Commissario ad acta” per l’ esecuzione delle sentenze del Tar Sicilia - Sez. staccata di Catania, del Consiglio di Giustizia Amministrativa e del Consiglio di Stato.</w:t>
            </w:r>
          </w:p>
        </w:tc>
      </w:tr>
    </w:tbl>
    <w:p w:rsidR="00C305B0" w:rsidRPr="00C14976" w:rsidRDefault="00C305B0" w:rsidP="00C305B0">
      <w:pPr>
        <w:rPr>
          <w:rFonts w:ascii="Calibri" w:hAnsi="Calibri"/>
        </w:rPr>
      </w:pPr>
    </w:p>
    <w:p w:rsidR="006147F1" w:rsidRDefault="00C305B0">
      <w:r>
        <w:br w:type="textWrapping" w:clear="all"/>
      </w:r>
    </w:p>
    <w:sectPr w:rsidR="006147F1" w:rsidSect="00BB4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EE"/>
    <w:rsid w:val="00024017"/>
    <w:rsid w:val="000C0F99"/>
    <w:rsid w:val="000E4CC2"/>
    <w:rsid w:val="001B4909"/>
    <w:rsid w:val="00241882"/>
    <w:rsid w:val="00263A21"/>
    <w:rsid w:val="002C319B"/>
    <w:rsid w:val="00411647"/>
    <w:rsid w:val="004358F3"/>
    <w:rsid w:val="00486C24"/>
    <w:rsid w:val="004A0D8F"/>
    <w:rsid w:val="004C31E3"/>
    <w:rsid w:val="006147F1"/>
    <w:rsid w:val="006F32B0"/>
    <w:rsid w:val="008E7EB0"/>
    <w:rsid w:val="00922D28"/>
    <w:rsid w:val="009B2C2A"/>
    <w:rsid w:val="00A2222D"/>
    <w:rsid w:val="00AC1524"/>
    <w:rsid w:val="00AE0138"/>
    <w:rsid w:val="00B64DEE"/>
    <w:rsid w:val="00BB4275"/>
    <w:rsid w:val="00BC1B64"/>
    <w:rsid w:val="00C14976"/>
    <w:rsid w:val="00C305B0"/>
    <w:rsid w:val="00D421C5"/>
    <w:rsid w:val="00D64674"/>
    <w:rsid w:val="00DD051B"/>
    <w:rsid w:val="00E45E99"/>
    <w:rsid w:val="00EA57E2"/>
    <w:rsid w:val="00F90311"/>
    <w:rsid w:val="00FA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EC9F-4C4A-45F9-8DFC-891CBF94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Silvana MERENDA</cp:lastModifiedBy>
  <cp:revision>7</cp:revision>
  <dcterms:created xsi:type="dcterms:W3CDTF">2017-05-03T08:12:00Z</dcterms:created>
  <dcterms:modified xsi:type="dcterms:W3CDTF">2017-05-03T10:31:00Z</dcterms:modified>
</cp:coreProperties>
</file>