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474" w:rsidRDefault="00AC70D3">
      <w:pPr>
        <w:pStyle w:val="Standard"/>
        <w:spacing w:after="0" w:line="24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i/>
          <w:u w:val="single"/>
          <w:shd w:val="clear" w:color="auto" w:fill="FFFF00"/>
        </w:rPr>
        <w:t>Solo in caso di applicazione di CCNL diverso da quello indicato dalla Stazione appaltante</w:t>
      </w:r>
    </w:p>
    <w:p w:rsidR="00F42474" w:rsidRDefault="00AC70D3">
      <w:pPr>
        <w:pStyle w:val="Standard"/>
        <w:tabs>
          <w:tab w:val="left" w:pos="6090"/>
        </w:tabs>
        <w:spacing w:after="0" w:line="240" w:lineRule="auto"/>
      </w:pPr>
      <w:r>
        <w:rPr>
          <w:rFonts w:ascii="Times New Roman" w:hAnsi="Times New Roman" w:cs="Times New Roman"/>
          <w:b/>
          <w:color w:val="000000"/>
        </w:rPr>
        <w:tab/>
        <w:t>Alla Stazione Appaltante</w:t>
      </w:r>
    </w:p>
    <w:p w:rsidR="00F42474" w:rsidRDefault="00AC70D3">
      <w:pPr>
        <w:pStyle w:val="Standard"/>
        <w:tabs>
          <w:tab w:val="left" w:pos="6146"/>
        </w:tabs>
        <w:spacing w:after="0" w:line="240" w:lineRule="auto"/>
        <w:ind w:left="56"/>
      </w:pP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</w:rPr>
        <w:tab/>
        <w:t>Prefettura di Gorizia</w:t>
      </w:r>
    </w:p>
    <w:p w:rsidR="00F42474" w:rsidRDefault="00AC70D3">
      <w:pPr>
        <w:pStyle w:val="Standard"/>
        <w:spacing w:after="0" w:line="240" w:lineRule="auto"/>
        <w:ind w:left="56"/>
        <w:jc w:val="center"/>
      </w:pPr>
      <w:r>
        <w:rPr>
          <w:rFonts w:ascii="Times New Roman" w:hAnsi="Times New Roman" w:cs="Times New Roman"/>
          <w:b/>
          <w:color w:val="000000"/>
        </w:rPr>
        <w:t>Gara europea a procedura aperta</w:t>
      </w:r>
    </w:p>
    <w:p w:rsidR="00F42474" w:rsidRDefault="00AC70D3">
      <w:pPr>
        <w:pStyle w:val="Standard"/>
        <w:spacing w:after="0" w:line="240" w:lineRule="auto"/>
        <w:ind w:left="56"/>
        <w:jc w:val="center"/>
      </w:pPr>
      <w:r>
        <w:rPr>
          <w:rFonts w:ascii="Times New Roman" w:hAnsi="Times New Roman" w:cs="Times New Roman"/>
          <w:b/>
          <w:color w:val="000000"/>
        </w:rPr>
        <w:t xml:space="preserve">per </w:t>
      </w:r>
      <w:r>
        <w:rPr>
          <w:rFonts w:ascii="Times New Roman" w:hAnsi="Times New Roman" w:cs="Times New Roman"/>
          <w:b/>
          <w:color w:val="000000"/>
        </w:rPr>
        <w:t>l'affidamento dei servizi di gestione del centro di permanenza e rimpatrio - Via Udine 31, Gradisca d’Isonzo (GO)</w:t>
      </w:r>
    </w:p>
    <w:p w:rsidR="00F42474" w:rsidRDefault="00AC70D3">
      <w:pPr>
        <w:pStyle w:val="Standard"/>
        <w:spacing w:after="0" w:line="240" w:lineRule="auto"/>
        <w:ind w:left="56"/>
        <w:jc w:val="center"/>
      </w:pPr>
      <w:r>
        <w:rPr>
          <w:rFonts w:ascii="Times New Roman" w:hAnsi="Times New Roman" w:cs="Times New Roman"/>
          <w:b/>
          <w:bCs/>
        </w:rPr>
        <w:t>nr. gara______________</w:t>
      </w: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____________________________ il ______________ in qualità d</w:t>
      </w:r>
      <w:r>
        <w:rPr>
          <w:rFonts w:ascii="Times New Roman" w:hAnsi="Times New Roman" w:cs="Times New Roman"/>
        </w:rPr>
        <w:t>i (carica sociale)________________________ della società _________________________________________ sede legale _____________________________________ sede operativa ____________________________________ n. telefono ________________________________________ n.</w:t>
      </w:r>
      <w:r>
        <w:rPr>
          <w:rFonts w:ascii="Times New Roman" w:hAnsi="Times New Roman" w:cs="Times New Roman"/>
        </w:rPr>
        <w:t xml:space="preserve"> fax  ________________________________________</w:t>
      </w: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fornisce, ai sensi dell’art. 11 comma 4 del Codice, la seguente dichiarazione di equivalenza delle tutele de</w:t>
      </w:r>
      <w:r>
        <w:rPr>
          <w:rFonts w:ascii="Times New Roman" w:hAnsi="Times New Roman" w:cs="Times New Roman"/>
          <w:b/>
        </w:rPr>
        <w:t>l diverso CCNL applicato _____________ codice alfanumerico unico_________ con riferimento ai seguenti parametri economici e normativi che seguono.</w:t>
      </w: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i/>
          <w:iCs/>
          <w:u w:val="single"/>
        </w:rPr>
        <w:t>PARAMETRI ECONOMICI</w:t>
      </w: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i/>
          <w:iCs/>
        </w:rPr>
        <w:t xml:space="preserve">per ciascun profilo di inquadramento contrattuale del personale da adibire all’appalto </w:t>
      </w:r>
      <w:r>
        <w:rPr>
          <w:rFonts w:ascii="Times New Roman" w:hAnsi="Times New Roman" w:cs="Times New Roman"/>
          <w:b/>
          <w:i/>
          <w:iCs/>
        </w:rPr>
        <w:t xml:space="preserve">sono indicate le </w:t>
      </w:r>
      <w:r>
        <w:rPr>
          <w:rFonts w:ascii="Times New Roman" w:hAnsi="Times New Roman" w:cs="Times New Roman"/>
          <w:bCs/>
          <w:i/>
          <w:iCs/>
          <w:u w:val="single"/>
        </w:rPr>
        <w:t xml:space="preserve">componenti fisse della retribuzione globale annua </w:t>
      </w:r>
      <w:proofErr w:type="gramStart"/>
      <w:r>
        <w:rPr>
          <w:rFonts w:ascii="Times New Roman" w:hAnsi="Times New Roman" w:cs="Times New Roman"/>
          <w:bCs/>
          <w:i/>
          <w:iCs/>
          <w:u w:val="single"/>
        </w:rPr>
        <w:t>lorda</w:t>
      </w:r>
      <w:r>
        <w:rPr>
          <w:rFonts w:ascii="Times New Roman" w:hAnsi="Times New Roman" w:cs="Times New Roman"/>
          <w:b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:</w:t>
      </w:r>
      <w:proofErr w:type="gramEnd"/>
      <w:r>
        <w:rPr>
          <w:rFonts w:ascii="Times New Roman" w:hAnsi="Times New Roman" w:cs="Times New Roman"/>
          <w:i/>
          <w:iCs/>
        </w:rPr>
        <w:t xml:space="preserve"> retribuzione tabellare annuale, indennità di contingenza, EDR, tredicesima e quattordicesima mensilità, eventuali ulteriori indennità previste</w:t>
      </w: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2"/>
        <w:gridCol w:w="3403"/>
        <w:gridCol w:w="3402"/>
      </w:tblGrid>
      <w:tr w:rsidR="00F42474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Parametri economici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F42474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2474" w:rsidRDefault="00AC70D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42474" w:rsidRDefault="00F42474">
      <w:pPr>
        <w:pStyle w:val="Standard"/>
        <w:spacing w:after="0" w:line="240" w:lineRule="auto"/>
        <w:rPr>
          <w:rFonts w:ascii="Times New Roman" w:hAnsi="Times New Roman" w:cs="Times New Roman"/>
          <w:b/>
          <w:i/>
        </w:rPr>
      </w:pPr>
    </w:p>
    <w:p w:rsidR="00F42474" w:rsidRDefault="00F42474">
      <w:pPr>
        <w:pStyle w:val="Standard"/>
        <w:spacing w:after="0" w:line="240" w:lineRule="auto"/>
        <w:rPr>
          <w:rFonts w:ascii="Times New Roman" w:hAnsi="Times New Roman" w:cs="Times New Roman"/>
          <w:b/>
          <w:i/>
        </w:rPr>
      </w:pPr>
    </w:p>
    <w:p w:rsidR="00F42474" w:rsidRDefault="00AC70D3">
      <w:pPr>
        <w:pStyle w:val="Standard"/>
        <w:spacing w:after="0" w:line="240" w:lineRule="auto"/>
      </w:pP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</w:t>
      </w:r>
      <w:r>
        <w:rPr>
          <w:rFonts w:ascii="Times New Roman" w:hAnsi="Times New Roman" w:cs="Times New Roman"/>
          <w:b/>
          <w:bCs/>
          <w:i/>
          <w:iCs/>
          <w:u w:val="single"/>
        </w:rPr>
        <w:t>NORMATIVI</w:t>
      </w:r>
    </w:p>
    <w:p w:rsidR="00F42474" w:rsidRDefault="00F42474">
      <w:pPr>
        <w:pStyle w:val="Standard"/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118"/>
        <w:gridCol w:w="3402"/>
      </w:tblGrid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lavoro straordinario, con particolare riferimento ai suoi limiti massimi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Misure compensative delle ex fe</w:t>
            </w:r>
            <w:r>
              <w:rPr>
                <w:rFonts w:ascii="Times New Roman" w:hAnsi="Times New Roman" w:cs="Times New Roman"/>
              </w:rPr>
              <w:t>stività soppresse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Durata del periodo di prova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Durata del periodo di preavviso;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Durata del periodo di comporto in caso di malattia e infortunio;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 xml:space="preserve">Malattia e infortunio, con particolare riferimento al riconoscimento di un’eventuale integrazione </w:t>
            </w:r>
            <w:r>
              <w:rPr>
                <w:rFonts w:ascii="Times New Roman" w:hAnsi="Times New Roman" w:cs="Times New Roman"/>
              </w:rPr>
              <w:t>delle relative indennità;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Monte ore di permessi retribuiti;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Maternità ed eventuale riconoscimento di un’integrazione della relativa indennità per astensione obbligatoria e facoltativa;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Bilateralità;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Previdenza integrativa;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474">
        <w:tblPrEx>
          <w:tblCellMar>
            <w:top w:w="0" w:type="dxa"/>
            <w:bottom w:w="0" w:type="dxa"/>
          </w:tblCellMar>
        </w:tblPrEx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AC70D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Sanità </w:t>
            </w:r>
            <w:r>
              <w:rPr>
                <w:rFonts w:ascii="Times New Roman" w:hAnsi="Times New Roman" w:cs="Times New Roman"/>
              </w:rPr>
              <w:t>integrativa.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474" w:rsidRDefault="00F42474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42474" w:rsidRDefault="00F42474">
      <w:pPr>
        <w:pStyle w:val="Standard"/>
        <w:spacing w:after="0" w:line="240" w:lineRule="auto"/>
        <w:rPr>
          <w:rFonts w:ascii="Times New Roman" w:hAnsi="Times New Roman" w:cs="Times New Roman"/>
          <w:b/>
          <w:i/>
        </w:rPr>
      </w:pP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Il concorrente allega copia del CCNL applicato ed ogni altra documentazione comprovante l’equivalenza delle tutele.</w:t>
      </w: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42474" w:rsidRDefault="00AC70D3">
      <w:pPr>
        <w:pStyle w:val="Standard"/>
        <w:spacing w:after="0" w:line="240" w:lineRule="auto"/>
        <w:ind w:left="5664" w:firstLine="708"/>
        <w:jc w:val="both"/>
      </w:pPr>
      <w:r>
        <w:rPr>
          <w:rFonts w:ascii="Times New Roman" w:hAnsi="Times New Roman" w:cs="Times New Roman"/>
        </w:rPr>
        <w:t>Firma digitale</w:t>
      </w:r>
    </w:p>
    <w:p w:rsidR="00F42474" w:rsidRDefault="00AC70D3">
      <w:pPr>
        <w:pStyle w:val="Standard"/>
        <w:spacing w:after="0" w:line="240" w:lineRule="auto"/>
        <w:ind w:left="4828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______________________________________</w:t>
      </w: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42474" w:rsidRDefault="00F42474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i/>
          <w:iCs/>
        </w:rPr>
        <w:t>Avvertenze</w:t>
      </w:r>
    </w:p>
    <w:p w:rsidR="00F42474" w:rsidRDefault="00AC70D3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i/>
          <w:iCs/>
        </w:rPr>
        <w:t>La dichiarazione è sottoscritta con le modalità previste dal punto 11 del Disciplinare.</w:t>
      </w:r>
    </w:p>
    <w:sectPr w:rsidR="00F42474">
      <w:headerReference w:type="default" r:id="rId7"/>
      <w:pgSz w:w="11906" w:h="16838"/>
      <w:pgMar w:top="1417" w:right="1134" w:bottom="1134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C70D3">
      <w:r>
        <w:separator/>
      </w:r>
    </w:p>
  </w:endnote>
  <w:endnote w:type="continuationSeparator" w:id="0">
    <w:p w:rsidR="00000000" w:rsidRDefault="00AC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C70D3">
      <w:r>
        <w:rPr>
          <w:color w:val="000000"/>
        </w:rPr>
        <w:separator/>
      </w:r>
    </w:p>
  </w:footnote>
  <w:footnote w:type="continuationSeparator" w:id="0">
    <w:p w:rsidR="00000000" w:rsidRDefault="00AC7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019" w:rsidRDefault="00AC70D3">
    <w:pPr>
      <w:pStyle w:val="Intestazione"/>
    </w:pPr>
    <w:r>
      <w:tab/>
    </w:r>
    <w:r>
      <w:tab/>
    </w:r>
    <w:r>
      <w:rPr>
        <w:b/>
      </w:rPr>
      <w:t>DICHIARAZIONE DI EQUIVALENZA TUTELE CCNL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C7005"/>
    <w:multiLevelType w:val="multilevel"/>
    <w:tmpl w:val="5A0CDDDE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42474"/>
    <w:rsid w:val="00AC70D3"/>
    <w:rsid w:val="00F42474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9F4BC-6954-4FE3-A969-285B9618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Arial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sz w:val="16"/>
      <w:szCs w:val="16"/>
    </w:rPr>
  </w:style>
  <w:style w:type="numbering" w:customStyle="1" w:styleId="NoList">
    <w:name w:val="No List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Viani Silvia</dc:creator>
  <cp:lastModifiedBy>Telesio Colafati</cp:lastModifiedBy>
  <cp:revision>2</cp:revision>
  <cp:lastPrinted>2023-10-31T08:10:00Z</cp:lastPrinted>
  <dcterms:created xsi:type="dcterms:W3CDTF">2024-07-22T11:29:00Z</dcterms:created>
  <dcterms:modified xsi:type="dcterms:W3CDTF">2024-07-22T11:29:00Z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