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30F62" w14:textId="2C68C9BE" w:rsidR="001B3D23" w:rsidRDefault="001B3D23" w:rsidP="001B3D2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C5FC7A9" wp14:editId="4CBDE78C">
            <wp:extent cx="579120" cy="676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81E6F" w14:textId="77777777" w:rsidR="001B3D23" w:rsidRPr="00C93558" w:rsidRDefault="001B3D23" w:rsidP="001B3D23">
      <w:pPr>
        <w:pStyle w:val="Titolo"/>
        <w:tabs>
          <w:tab w:val="center" w:pos="4253"/>
        </w:tabs>
        <w:rPr>
          <w:sz w:val="52"/>
          <w:szCs w:val="52"/>
        </w:rPr>
      </w:pPr>
      <w:r w:rsidRPr="00C93558">
        <w:rPr>
          <w:sz w:val="52"/>
          <w:szCs w:val="52"/>
        </w:rPr>
        <w:t>Prefettura - Ufficio territoriale del Governo</w:t>
      </w:r>
    </w:p>
    <w:p w14:paraId="0B9475F3" w14:textId="77777777" w:rsidR="001B3D23" w:rsidRPr="002B1865" w:rsidRDefault="001B3D23" w:rsidP="001B3D23">
      <w:pPr>
        <w:pStyle w:val="Titolo1"/>
        <w:tabs>
          <w:tab w:val="left" w:pos="1320"/>
        </w:tabs>
      </w:pPr>
      <w:r w:rsidRPr="004157C9">
        <w:rPr>
          <w:i w:val="0"/>
          <w:sz w:val="52"/>
          <w:szCs w:val="52"/>
        </w:rPr>
        <w:t>di Campobasso</w:t>
      </w:r>
    </w:p>
    <w:p w14:paraId="597D94DC" w14:textId="77777777" w:rsidR="001B3D23" w:rsidRPr="009F2523" w:rsidRDefault="001B3D23" w:rsidP="001B3D23">
      <w:pPr>
        <w:tabs>
          <w:tab w:val="center" w:pos="4819"/>
          <w:tab w:val="right" w:pos="9638"/>
        </w:tabs>
        <w:jc w:val="center"/>
        <w:rPr>
          <w:rFonts w:ascii="Times New Roman" w:hAnsi="Times New Roman"/>
          <w:sz w:val="28"/>
          <w:szCs w:val="28"/>
        </w:rPr>
      </w:pPr>
      <w:r w:rsidRPr="002B1865">
        <w:rPr>
          <w:rFonts w:ascii="English157 BT" w:hAnsi="English157 BT" w:cs="Arial"/>
          <w:i/>
          <w:sz w:val="36"/>
          <w:szCs w:val="36"/>
          <w:lang w:eastAsia="x-none"/>
        </w:rPr>
        <w:t xml:space="preserve">Area </w:t>
      </w:r>
      <w:r w:rsidRPr="009F2523">
        <w:rPr>
          <w:rFonts w:ascii="Times New Roman" w:hAnsi="Times New Roman"/>
          <w:i/>
          <w:sz w:val="28"/>
          <w:szCs w:val="28"/>
          <w:lang w:eastAsia="x-none"/>
        </w:rPr>
        <w:t xml:space="preserve">III </w:t>
      </w:r>
    </w:p>
    <w:p w14:paraId="23EF756A" w14:textId="78ED0247" w:rsidR="00DB5E27" w:rsidRPr="00F32D26" w:rsidRDefault="00DB5E27" w:rsidP="00B14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4486B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PUBBLICO</w:t>
      </w:r>
    </w:p>
    <w:p w14:paraId="3AEEFFE4" w14:textId="77777777" w:rsidR="006A08DC" w:rsidRDefault="0094486B" w:rsidP="00B14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 PREFETTIZIO PREVISTO DALL’ART. 8 DEL D.P.R. N. 571/1982</w:t>
      </w:r>
    </w:p>
    <w:p w14:paraId="66BCE42F" w14:textId="242A1C78" w:rsidR="00DB5E27" w:rsidRPr="00F32D26" w:rsidRDefault="008F130A" w:rsidP="00B14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ANN</w:t>
      </w:r>
      <w:r w:rsidR="00B923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="006A08DC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23</w:t>
      </w:r>
    </w:p>
    <w:p w14:paraId="5160035F" w14:textId="07253B3D" w:rsidR="00DB5E27" w:rsidRPr="00F32D26" w:rsidRDefault="0094486B" w:rsidP="00991E7B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rende noto che </w:t>
      </w:r>
      <w:r w:rsidRPr="0004646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sono </w:t>
      </w:r>
      <w:r w:rsidR="001246F4" w:rsidRPr="0004646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</w:t>
      </w:r>
      <w:r w:rsidRPr="0004646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aperti i termini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presentazione delle richieste ai fini dell’iscrizione,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5457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per </w:t>
      </w:r>
      <w:r w:rsidR="001246F4" w:rsidRPr="00B5457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l’anno </w:t>
      </w:r>
      <w:r w:rsidRPr="00B5457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202</w:t>
      </w:r>
      <w:r w:rsidR="008F130A" w:rsidRPr="00B5457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3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nell’elenco prefettizio dei custodi autorizzati a detenere i veicoli a motore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sottoposti a fermo e/o sequestro amministrativo, di cui all’art.8 del D.P.R. n. 571 del 1982 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conformemente a quanto previsto, da ultimo, dalle Circolari del Ministero dell’Interno n. 9096 del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18 maggio 2015 e n. 5886 del 10 aprile 2019.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03A96A8" w14:textId="7961AB5A" w:rsidR="00DB5E27" w:rsidRPr="006A08DC" w:rsidRDefault="0094486B" w:rsidP="00991E7B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ditte e società interessate all’inserimento nell’elenco dovranno presentare, </w:t>
      </w:r>
      <w:r w:rsidRPr="008009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entro il </w:t>
      </w:r>
      <w:r w:rsidR="00EE6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28</w:t>
      </w:r>
      <w:r w:rsidR="003C0D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febbraio 2023</w:t>
      </w:r>
      <w:r w:rsidRPr="006A08DC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,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istanza, in bollo, indirizzata alla Prefettura U.T.G. di Campobasso, a mezzo PEC, al seguente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protocollo.prefcb@pec.interno.it, ovvero a mezzo raccomandata A/R, indirizzata alla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Prefettura U.T.G. di Campobasso – P.za Gabriele Pepe n. 24.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Sull’esterno della busta o nell’oggetto della </w:t>
      </w:r>
      <w:proofErr w:type="spellStart"/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dovrà essere riportata la seguente dicitura: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richiesta iscrizione elenco depositerie – ann</w:t>
      </w:r>
      <w:r w:rsidR="001246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</w:t>
      </w:r>
      <w:r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202</w:t>
      </w:r>
      <w:r w:rsidR="00055D03"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r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”.</w:t>
      </w:r>
      <w:r w:rsidR="00DB5E27"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150D5BD9" w14:textId="77777777" w:rsidR="00DB5E27" w:rsidRPr="00F32D26" w:rsidRDefault="0094486B" w:rsidP="00991E7B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 soggetti iscritti nel citato elenco saranno abilitati alla custodia dei veicoli a motore sottoposti 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fermo o sequestro amministrativo </w:t>
      </w:r>
      <w:r w:rsidRPr="006A08DC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per la durata di un anno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decorrere dalla data di definizione della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procedura.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9BCD54D" w14:textId="77777777" w:rsidR="00DB5E27" w:rsidRPr="00F32D26" w:rsidRDefault="0094486B" w:rsidP="00991E7B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Potranno presentare domanda i soggetti che, ai sensi degli artt. 46 e 47 del D.P.R. n. 445 del 2000,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dichiareranno di essere in possesso dei requisiti soggettivi e oggettivi richiesti e che produrranno 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necessaria a valutare l’istanza, che andrà redatta secondo il modello allegato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(All.1) e andrà corredata da copia di un valido documento di identità.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DE0919" w14:textId="77777777" w:rsidR="00DB5E27" w:rsidRPr="00F32D26" w:rsidRDefault="0094486B" w:rsidP="00F506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REQUISITI SOGGETTIVI.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B0C6755" w14:textId="3E419524" w:rsidR="0094486B" w:rsidRPr="00F32D26" w:rsidRDefault="0094486B" w:rsidP="00F506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 richiedenti dovranno essere in possesso dei seguenti requisiti di carattere soggettivo: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DC5AEDF" w14:textId="02BB7D79" w:rsidR="00DB5E27" w:rsidRPr="00F32D26" w:rsidRDefault="0094486B" w:rsidP="00F506E6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trovarsi in nessuna delle condizioni di esclusione di partecipazione alle gare pubbliche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 lavori, servizi e forniture e di stipula dei relativi contratti, previste dall’art. 80 del D.lgs.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50/2016 e </w:t>
      </w:r>
      <w:proofErr w:type="spellStart"/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.;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9C44620" w14:textId="039AF800" w:rsidR="00DB5E27" w:rsidRPr="00F32D26" w:rsidRDefault="0094486B" w:rsidP="00F506E6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 riportato condanne a pena restrittiva della libertà personale superiore a tre anni per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delitto non colposo, salvi gli effetti di eventuali provvedimenti riabilitativi;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DCA2632" w14:textId="4A37CB8B" w:rsidR="00DB5E27" w:rsidRPr="00F32D26" w:rsidRDefault="0094486B" w:rsidP="00F506E6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essere stati sottoposti alla misura di prevenzione della sorveglianza speciale e a misura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 sicurezza personale;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C486C0A" w14:textId="21D0ACEF" w:rsidR="00DB5E27" w:rsidRPr="00F32D26" w:rsidRDefault="0094486B" w:rsidP="00F506E6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 riportato condanne per delitti contro il patrimonio o contro le persone, commessi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 violenza, salvi gli effetti di eventuali provvedimenti riabilitativi;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ED3825F" w14:textId="3F28B057" w:rsidR="00DB5E27" w:rsidRPr="00F32D26" w:rsidRDefault="0094486B" w:rsidP="00F506E6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non aver commesso violazioni di norme inerenti ai doveri della custodia del materiale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sottoposto a sequestro o confisca;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5185BFC" w14:textId="5A1FD671" w:rsidR="00DB5E27" w:rsidRPr="00F32D26" w:rsidRDefault="0094486B" w:rsidP="00F506E6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regola con la normativa vigente in tema di lavoro, previdenza e regolarità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contributiva;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88F7BE0" w14:textId="1B661D5A" w:rsidR="00DB5E27" w:rsidRPr="00F32D26" w:rsidRDefault="0094486B" w:rsidP="00F506E6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regola con la normativa vigente in tema di salute, igiene e sicurezza nei luoghi di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lavoro, in particolare assicurando la piena conformità alle previsioni del D. Lgs. 81 del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2008;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E0947D2" w14:textId="7D03F015" w:rsidR="00DB5E27" w:rsidRPr="00F32D26" w:rsidRDefault="0094486B" w:rsidP="00F506E6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essere destinatario di atti e provvedimenti di cui all’art. 84 comma 4 de</w:t>
      </w:r>
      <w:r w:rsidR="005605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 Lgs. 159 del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2011 (c.d. Codice Antimafia).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EA5FA62" w14:textId="77777777" w:rsidR="00DB5E27" w:rsidRPr="00F32D26" w:rsidRDefault="0094486B" w:rsidP="00F506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REQUISITI OGGETTIVI E PRESCRIZIONI DI ESERCIZIO.</w:t>
      </w:r>
    </w:p>
    <w:p w14:paraId="16C74216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l’area interessata dovrà essere idonea ad ospitare un numero non inferiore a cinquanta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veicoli e non potrà essere parcellizzata;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853C7BB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la sistemazione all’interno dell’area dei veicoli dovrà essere tale da consentire agevoli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manovre di movimentazione dei mezzi di parcheggio e dei mezzi in soccorso. Nella stessa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area non dovranno essere effettuate operazioni di demolizione e smontaggio dei mezzi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custoditi. Una quota parte della suddetta area dovrà presentare una superficie idonea 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custodire contemporaneamente almeno due veicoli incidentati;</w:t>
      </w:r>
    </w:p>
    <w:p w14:paraId="3427DF0A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deposito dovrà essere sempre funzionante nell'arco delle 24 ore ed eventuali riposi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settimanali, sia del titolare che dei suoi delegati o preposti, dovranno essere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tempestivamente comunicati alle locali forze di polizia;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99D1B27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nel deposito dovrà essere assicurata vigilanza ininterrotta nell'arco delle 24 ore, attraverso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strumenti di videosorveglianza e/o impiego di personale all’uopo dedicato;</w:t>
      </w:r>
    </w:p>
    <w:p w14:paraId="59F6C7A7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 sede di allocazione dei veicoli, dovrà essere rispettata la distanza di m.1,50 dai confini di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proprietà, anche nel caso in cui non esistano fabbricati, al fine di impedire la propagazione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 eventuali incendi verso terzi, e dalle pareti di fabbricati con aperture e dovrà essere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garantito il rispetto di una fascia libera di almeno 30 cm intorno all'intera sagoma dei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singoli veicoli al fine di consentire le operazioni di movimentazione dei mezzi ed eventuali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interventi di soccorso;</w:t>
      </w:r>
    </w:p>
    <w:p w14:paraId="1D2EA408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 veicoli depositati dovranno essere custoditi con la massima diligenza nel pieno rispetto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normativa vigente in materia;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8CD09CA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l'area in questione dovrà essere recintata con rete metallica non inferiore a 2.50 mt. o altro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tipo di protezione che garantisca un livello di sicurezza adeguato;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A508811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l’area utilizzata e una fascia di rispetto contigua recitata di almeno 5 metri dovranno essere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completamente priva di sterpaglie;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944B542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piazzale di servizio dovrà essere adeguatamente illuminato;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25A57AC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parcheggio all'aperto dovrà essere munito dei sistemi di protezione anti-incendio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 a quanto prescritto nel Decreto Ministeriale del 10 marzo 1998 ed alle regole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tecniche previste per le attività elencate nel DPR 151/2011;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6519735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 motoveicoli e i ciclomotori dovranno essere custoditi in modo da preservarne l'integrità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da agenti atmosferici;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D97DFAD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 chiuso dovrà essere prevista una pavimentazione impermeabilizzata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 locale ed un pozzetto di raccolta degli eventuali sversamenti, assicurando l'osservanza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obblighi di smaltimento nelle forme previste dalla vigente legislazione;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6BE61D8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all'aperto, dovrà essere prevista una pavimentazione impermeabilizzata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dell'area, munita di un sistema di raccolta delle acque meteoriche e/o di altri liquidi, con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l’onere del trattamento secondo la pertinente normativa in materia.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ABA2373" w14:textId="3A958FE7" w:rsidR="00DB5E27" w:rsidRPr="00F32D26" w:rsidRDefault="0094486B" w:rsidP="00F506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5F37D17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dovrà essere fornito e costantemente aggiornato l’elenco degli addetti al deposito, i quali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muniti di tesserino recante nome, cognome e denominazione della società di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appartenenza;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DD9E1EF" w14:textId="2662D266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 cadenza semestrale (gennaio - giugno e luglio - dicembre), dovrà essere prodotto l’elenco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dei veicoli giacenti nel semestre precedente con l’indicazione delle variazioni in entrata 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 uscita intervenute nel corso del semestre di riferimento. Tale elenco – da produrre entro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15 luglio per il semestre gennaio- giugno e entro il 15 gennaio per il semestre luglio-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dicembre dell’anno precedente – dovrà pervenire a mezzo </w:t>
      </w:r>
      <w:proofErr w:type="spellStart"/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hyperlink r:id="rId9" w:history="1">
        <w:r w:rsidR="00DB5E27" w:rsidRPr="00F32D2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protocollo.prefcb@pec.interno.it</w:t>
        </w:r>
      </w:hyperlink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28B5D66A" w14:textId="77777777" w:rsidR="00DB5E27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la rimozione ed il trasporto dei veicoli dovranno essere effettuati con propri mezzi, idonei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per ogni tipologia di veicolo, muniti di polizza di "rischio di esercizio", con la massima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sollecitudine e comunque entro 60 minuti, motivando ogni eventuale ritardo;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DC7B293" w14:textId="48B4F5EB" w:rsidR="0094486B" w:rsidRPr="00F32D26" w:rsidRDefault="0094486B" w:rsidP="00F506E6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dovranno essere applicate anche al trasgressore che ritira il veicolo, tariffe non superiori 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quelle riportate nel decreto prefettizio.</w:t>
      </w:r>
    </w:p>
    <w:p w14:paraId="5B4885D0" w14:textId="77777777" w:rsidR="00DB5E27" w:rsidRPr="00F32D26" w:rsidRDefault="0094486B" w:rsidP="00F506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Alla domanda di iscrizione dovrà inoltre essere allegata: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BEE6316" w14:textId="77777777" w:rsidR="00DB5E27" w:rsidRPr="00F32D26" w:rsidRDefault="0094486B" w:rsidP="00F506E6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per la responsabilità civile verso terzi e contro il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danneggiamento, il furto e l'incendio;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BD62FC2" w14:textId="77777777" w:rsidR="00DB5E27" w:rsidRPr="00F32D26" w:rsidRDefault="0094486B" w:rsidP="00F506E6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 di iscrizione alla Camera di Commercio relativamente all’attività in questione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 certificato del Casellario Giudiziale;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08DAE0F" w14:textId="77777777" w:rsidR="00DB5E27" w:rsidRPr="00F32D26" w:rsidRDefault="0094486B" w:rsidP="00F506E6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tesa a riferire se l’area destinata sia di proprietà, in affitto, in comodato 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risulti in concessione dal demanio o da altro ente;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DA77596" w14:textId="77777777" w:rsidR="00DB5E27" w:rsidRPr="00F32D26" w:rsidRDefault="0094486B" w:rsidP="00F506E6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di "rischio di esercizio" relativa al mezzo o ai mezzi che si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intendono utilizzare per il prelievo e trasporto dei veicoli dal luogo del fermo o sequestro al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del deposito;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2575DB" w14:textId="77777777" w:rsidR="00DB5E27" w:rsidRPr="00F32D26" w:rsidRDefault="0094486B" w:rsidP="00F506E6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Segnalazione Certificata di Inizio Attività – SCIA, completa dei necessari allegati tra i quali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l’asseverazione a firma del tecnico abilitato, riguardante l’idoneità tecnica delle attività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contemplate nel DPR n° 151/2011 e segnalazione concernente la conformità della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depositeria alle prescrizioni recate dalla normativa in materia di prevenzione degli incendi;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9DC3B11" w14:textId="77777777" w:rsidR="00DB5E27" w:rsidRPr="00F32D26" w:rsidRDefault="0094486B" w:rsidP="00F506E6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della carta di circolazione, del certificato di proprietà e della polizza assicurativa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dei mezzi utilizzati per l'attività di trasporto dei veicoli dal luogo del fermo o sequestro al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del deposito;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73E2717" w14:textId="77777777" w:rsidR="00DB5E27" w:rsidRPr="00F32D26" w:rsidRDefault="0094486B" w:rsidP="00F506E6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 di un tecnico iscritto all'albo professionale corredata da planimetria in scala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1:1500 in cui risultino evidenziate: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361CAD7" w14:textId="77777777" w:rsidR="00DB5E27" w:rsidRPr="00F32D26" w:rsidRDefault="0094486B" w:rsidP="00991E7B">
      <w:pPr>
        <w:pStyle w:val="Paragrafoelenco"/>
        <w:numPr>
          <w:ilvl w:val="1"/>
          <w:numId w:val="5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perimetrazione dell'area, distinguendo l'area adibita a depositeria da altra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area appartenente allo stesso soggetto destinata ad altra attività;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1C2FB64" w14:textId="46190CBC" w:rsidR="00DB5E27" w:rsidRPr="00F32D26" w:rsidRDefault="0094486B" w:rsidP="00991E7B">
      <w:pPr>
        <w:pStyle w:val="Paragrafoelenco"/>
        <w:numPr>
          <w:ilvl w:val="1"/>
          <w:numId w:val="5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conforme destinazione dell'area ove è ubicata la depositeria al piano regolatore (il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cui stralcio con le norme tecniche dovrà comunque essere allegato), con indicazione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vie di accesso e di esodo e dell'eventuale esistenza di manufatti, anche in corso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 realizzazione, precisando se gli stessi siano o meno abusivi (in caso di abusività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andranno indicati gli estremi dell’eventuale richiesta di condono edilizio);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99E1232" w14:textId="77777777" w:rsidR="00DB5E27" w:rsidRPr="00F32D26" w:rsidRDefault="0094486B" w:rsidP="00991E7B">
      <w:pPr>
        <w:pStyle w:val="Paragrafoelenco"/>
        <w:numPr>
          <w:ilvl w:val="1"/>
          <w:numId w:val="5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conformità dell'impianto idrico antincendio e dell'impianto elettrico di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illuminazione all'art. 7 del D.M. Sviluppo Economico n. 37/08;</w:t>
      </w:r>
    </w:p>
    <w:p w14:paraId="7378CB78" w14:textId="77777777" w:rsidR="00DB5E27" w:rsidRPr="00F32D26" w:rsidRDefault="0094486B" w:rsidP="00991E7B">
      <w:pPr>
        <w:pStyle w:val="Paragrafoelenco"/>
        <w:numPr>
          <w:ilvl w:val="1"/>
          <w:numId w:val="5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inesistenza di vincoli paesaggistici, archeologici ed idrici gravanti sull'area con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l'indicazione di eventuali autorizzazioni in deroga;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E64AE74" w14:textId="77777777" w:rsidR="00DB5E27" w:rsidRPr="00F32D26" w:rsidRDefault="00DB5E27" w:rsidP="00991E7B">
      <w:pPr>
        <w:pStyle w:val="Paragrafoelenco"/>
        <w:numPr>
          <w:ilvl w:val="1"/>
          <w:numId w:val="5"/>
        </w:numPr>
        <w:spacing w:before="24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94486B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isponibilità di idoneo serbatoio di riserva idropotabile e di punto acqua dedicato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4486B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alle operazioni di pulizia;</w:t>
      </w:r>
    </w:p>
    <w:p w14:paraId="0BB21A45" w14:textId="47DCEC6A" w:rsidR="0094486B" w:rsidRPr="00F32D26" w:rsidRDefault="0094486B" w:rsidP="00991E7B">
      <w:pPr>
        <w:pStyle w:val="Paragrafoelenco"/>
        <w:numPr>
          <w:ilvl w:val="1"/>
          <w:numId w:val="5"/>
        </w:numPr>
        <w:spacing w:before="24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relazione giurata, rilasciata da un tecnico iscritto all</w:t>
      </w:r>
      <w:r w:rsidR="00F32D26">
        <w:rPr>
          <w:rFonts w:ascii="Times New Roman" w:hAnsi="Times New Roman" w:cs="Times New Roman"/>
          <w:sz w:val="24"/>
          <w:szCs w:val="24"/>
        </w:rPr>
        <w:t>’</w:t>
      </w:r>
      <w:r w:rsidRPr="00F32D26">
        <w:rPr>
          <w:rFonts w:ascii="Times New Roman" w:hAnsi="Times New Roman" w:cs="Times New Roman"/>
          <w:sz w:val="24"/>
          <w:szCs w:val="24"/>
        </w:rPr>
        <w:t>albo professionale, da cui risulti che la</w:t>
      </w:r>
      <w:r w:rsidR="00DB5E27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 xml:space="preserve">superficie destinata alla custodia dei veicoli incidentati </w:t>
      </w:r>
      <w:r w:rsidR="00DB5E27" w:rsidRPr="00F32D26">
        <w:rPr>
          <w:rFonts w:ascii="Times New Roman" w:hAnsi="Times New Roman" w:cs="Times New Roman"/>
          <w:sz w:val="24"/>
          <w:szCs w:val="24"/>
        </w:rPr>
        <w:t>è</w:t>
      </w:r>
      <w:r w:rsidRPr="00F32D26">
        <w:rPr>
          <w:rFonts w:ascii="Times New Roman" w:hAnsi="Times New Roman" w:cs="Times New Roman"/>
          <w:sz w:val="24"/>
          <w:szCs w:val="24"/>
        </w:rPr>
        <w:t xml:space="preserve"> munita delle</w:t>
      </w:r>
      <w:r w:rsidR="00DB5E27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lastRenderedPageBreak/>
        <w:t>autorizzazioni/certificazioni richieste dalla vigente normativa nazionale -ivi compreso il</w:t>
      </w:r>
      <w:r w:rsidR="00DB5E27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 xml:space="preserve">decreto legislative n° 152/2006 e ss.mm. e ii. -- e regionale in materia di tutela ambientale ed </w:t>
      </w:r>
      <w:r w:rsidR="00DB5E27" w:rsidRPr="00F32D26">
        <w:rPr>
          <w:rFonts w:ascii="Times New Roman" w:hAnsi="Times New Roman" w:cs="Times New Roman"/>
          <w:sz w:val="24"/>
          <w:szCs w:val="24"/>
        </w:rPr>
        <w:t>è</w:t>
      </w:r>
      <w:r w:rsidRPr="00F32D26">
        <w:rPr>
          <w:rFonts w:ascii="Times New Roman" w:hAnsi="Times New Roman" w:cs="Times New Roman"/>
          <w:sz w:val="24"/>
          <w:szCs w:val="24"/>
        </w:rPr>
        <w:t xml:space="preserve"> rispettosa delle previsioni dettate dal piano regolatore corrente. </w:t>
      </w:r>
    </w:p>
    <w:p w14:paraId="1451720C" w14:textId="77777777" w:rsidR="00F32D26" w:rsidRPr="00F32D26" w:rsidRDefault="0094486B" w:rsidP="00991E7B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Ai fini dell'iscrizione nell'elenco e per poter ottenere dall' Amministrazione la liquidazione delle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relative spese di custodia, la depositeria dovr</w:t>
      </w:r>
      <w:r w:rsidR="00F32D26" w:rsidRPr="00F32D26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 xml:space="preserve"> rendersi disponibile ad utilizzare, ove richiesto, un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applicativo informatico all'uopo sviluppato e messo a disposizione dall' Amministrazione.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AA05B" w14:textId="4FDDCF36" w:rsidR="0094486B" w:rsidRPr="00F32D26" w:rsidRDefault="0094486B" w:rsidP="00991E7B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 xml:space="preserve">L'iscrizione nell'elenco prefettizio </w:t>
      </w:r>
      <w:r w:rsidR="00F32D26" w:rsidRPr="00F32D26">
        <w:rPr>
          <w:rFonts w:ascii="Times New Roman" w:hAnsi="Times New Roman" w:cs="Times New Roman"/>
          <w:sz w:val="24"/>
          <w:szCs w:val="24"/>
        </w:rPr>
        <w:t>è</w:t>
      </w:r>
      <w:r w:rsidRPr="00F32D26">
        <w:rPr>
          <w:rFonts w:ascii="Times New Roman" w:hAnsi="Times New Roman" w:cs="Times New Roman"/>
          <w:sz w:val="24"/>
          <w:szCs w:val="24"/>
        </w:rPr>
        <w:t xml:space="preserve"> subordinata all'acquisizione della sopraindicata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 xml:space="preserve">documentazione ed al </w:t>
      </w:r>
      <w:r w:rsidR="00F32D26" w:rsidRPr="00F32D26">
        <w:rPr>
          <w:rFonts w:ascii="Times New Roman" w:hAnsi="Times New Roman" w:cs="Times New Roman"/>
          <w:sz w:val="24"/>
          <w:szCs w:val="24"/>
        </w:rPr>
        <w:t>p</w:t>
      </w:r>
      <w:r w:rsidRPr="00F32D26">
        <w:rPr>
          <w:rFonts w:ascii="Times New Roman" w:hAnsi="Times New Roman" w:cs="Times New Roman"/>
          <w:sz w:val="24"/>
          <w:szCs w:val="24"/>
        </w:rPr>
        <w:t>ositivo riscontro dei requisiti prescritti cui la Prefettura proceder</w:t>
      </w:r>
      <w:r w:rsidR="006A08DC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>, anche a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mezzo dei competenti organi consultivi, ispettivi e di controllo, nonch</w:t>
      </w:r>
      <w:r w:rsidR="00F32D26" w:rsidRPr="00F32D26">
        <w:rPr>
          <w:rFonts w:ascii="Times New Roman" w:hAnsi="Times New Roman" w:cs="Times New Roman"/>
          <w:sz w:val="24"/>
          <w:szCs w:val="24"/>
        </w:rPr>
        <w:t>é</w:t>
      </w:r>
      <w:r w:rsidRPr="00F32D26">
        <w:rPr>
          <w:rFonts w:ascii="Times New Roman" w:hAnsi="Times New Roman" w:cs="Times New Roman"/>
          <w:sz w:val="24"/>
          <w:szCs w:val="24"/>
        </w:rPr>
        <w:t xml:space="preserve"> alla verifica della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 xml:space="preserve">sussistenza </w:t>
      </w:r>
      <w:r w:rsidR="006A08DC">
        <w:rPr>
          <w:rFonts w:ascii="Times New Roman" w:hAnsi="Times New Roman" w:cs="Times New Roman"/>
          <w:sz w:val="24"/>
          <w:szCs w:val="24"/>
        </w:rPr>
        <w:t>d</w:t>
      </w:r>
      <w:r w:rsidRPr="00F32D26">
        <w:rPr>
          <w:rFonts w:ascii="Times New Roman" w:hAnsi="Times New Roman" w:cs="Times New Roman"/>
          <w:sz w:val="24"/>
          <w:szCs w:val="24"/>
        </w:rPr>
        <w:t>ei requisiti strutturali</w:t>
      </w:r>
      <w:r w:rsidR="006A08DC">
        <w:rPr>
          <w:rFonts w:ascii="Times New Roman" w:hAnsi="Times New Roman" w:cs="Times New Roman"/>
          <w:sz w:val="24"/>
          <w:szCs w:val="24"/>
        </w:rPr>
        <w:t>,</w:t>
      </w:r>
      <w:r w:rsidRPr="00F32D26">
        <w:rPr>
          <w:rFonts w:ascii="Times New Roman" w:hAnsi="Times New Roman" w:cs="Times New Roman"/>
          <w:sz w:val="24"/>
          <w:szCs w:val="24"/>
        </w:rPr>
        <w:t xml:space="preserve"> a mezzo di apposita Commissione.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65455" w14:textId="7670149F" w:rsidR="00F32D26" w:rsidRPr="00F32D26" w:rsidRDefault="0094486B" w:rsidP="00991E7B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Ove la documentazione pervenuta risultasse incompleta o irregolare, l'Ufficio si riserva la facolt</w:t>
      </w:r>
      <w:r w:rsidR="00F32D26" w:rsidRPr="00F32D26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 xml:space="preserve"> di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richiedere alla Ditta integrazione e/o modifiche della medesima.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755EA" w14:textId="6DAF9CD4" w:rsidR="0094486B" w:rsidRPr="00F32D26" w:rsidRDefault="0094486B" w:rsidP="00991E7B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Nel caso in cui, a seguito del controllo, non risultassero i requisiti dichiarati, la Prefettura non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proceder</w:t>
      </w:r>
      <w:r w:rsidR="00F32D26" w:rsidRPr="00F32D26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 xml:space="preserve"> alla iscrizione nell</w:t>
      </w:r>
      <w:r w:rsidR="00F32D26" w:rsidRPr="00F32D26">
        <w:rPr>
          <w:rFonts w:ascii="Times New Roman" w:hAnsi="Times New Roman" w:cs="Times New Roman"/>
          <w:sz w:val="24"/>
          <w:szCs w:val="24"/>
        </w:rPr>
        <w:t>’</w:t>
      </w:r>
      <w:r w:rsidRPr="00F32D26">
        <w:rPr>
          <w:rFonts w:ascii="Times New Roman" w:hAnsi="Times New Roman" w:cs="Times New Roman"/>
          <w:sz w:val="24"/>
          <w:szCs w:val="24"/>
        </w:rPr>
        <w:t>elenco.</w:t>
      </w:r>
    </w:p>
    <w:p w14:paraId="5815E9E0" w14:textId="3665EF56" w:rsidR="0094486B" w:rsidRPr="00F32D26" w:rsidRDefault="0094486B" w:rsidP="00991E7B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In caso di modificazioni delle condizioni certificate che non siano tempestivamente segnalate,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ovvero in caso di violazioni delle prescrizioni, la Prefettura potr</w:t>
      </w:r>
      <w:r w:rsidR="00F32D26" w:rsidRPr="00F32D26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 xml:space="preserve"> procedere alla immediata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cancellazione dall' elenco.</w:t>
      </w:r>
    </w:p>
    <w:p w14:paraId="0182C643" w14:textId="0CE67EC7" w:rsidR="000227F6" w:rsidRDefault="00F32D26" w:rsidP="00991E7B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Il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presente avviso sar</w:t>
      </w:r>
      <w:r w:rsidRPr="00F32D26">
        <w:rPr>
          <w:rFonts w:ascii="Times New Roman" w:hAnsi="Times New Roman" w:cs="Times New Roman"/>
          <w:sz w:val="24"/>
          <w:szCs w:val="24"/>
        </w:rPr>
        <w:t>à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pubblicato sul sito internet della Prefettura e</w:t>
      </w:r>
      <w:r w:rsidR="006A08DC">
        <w:rPr>
          <w:rFonts w:ascii="Times New Roman" w:hAnsi="Times New Roman" w:cs="Times New Roman"/>
          <w:sz w:val="24"/>
          <w:szCs w:val="24"/>
        </w:rPr>
        <w:t>d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="006A08DC">
        <w:rPr>
          <w:rFonts w:ascii="Times New Roman" w:hAnsi="Times New Roman" w:cs="Times New Roman"/>
          <w:sz w:val="24"/>
          <w:szCs w:val="24"/>
        </w:rPr>
        <w:t>all’</w:t>
      </w:r>
      <w:r w:rsidR="0094486B" w:rsidRPr="00F32D26">
        <w:rPr>
          <w:rFonts w:ascii="Times New Roman" w:hAnsi="Times New Roman" w:cs="Times New Roman"/>
          <w:sz w:val="24"/>
          <w:szCs w:val="24"/>
        </w:rPr>
        <w:t>Alb</w:t>
      </w:r>
      <w:r w:rsidR="006A08DC">
        <w:rPr>
          <w:rFonts w:ascii="Times New Roman" w:hAnsi="Times New Roman" w:cs="Times New Roman"/>
          <w:sz w:val="24"/>
          <w:szCs w:val="24"/>
        </w:rPr>
        <w:t>o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Pretori</w:t>
      </w:r>
      <w:r w:rsidR="006A08DC">
        <w:rPr>
          <w:rFonts w:ascii="Times New Roman" w:hAnsi="Times New Roman" w:cs="Times New Roman"/>
          <w:sz w:val="24"/>
          <w:szCs w:val="24"/>
        </w:rPr>
        <w:t>o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dei Comuni</w:t>
      </w:r>
      <w:r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="0094486B" w:rsidRPr="00F32D26">
        <w:rPr>
          <w:rFonts w:ascii="Times New Roman" w:hAnsi="Times New Roman" w:cs="Times New Roman"/>
          <w:sz w:val="24"/>
          <w:szCs w:val="24"/>
        </w:rPr>
        <w:t>della provincia di Campobasso.</w:t>
      </w:r>
    </w:p>
    <w:p w14:paraId="5C860EE5" w14:textId="77777777" w:rsidR="00F506E6" w:rsidRDefault="00F506E6" w:rsidP="00F506E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F472881" w14:textId="414FD9C4" w:rsidR="00B53DB1" w:rsidRDefault="00F506E6" w:rsidP="00EA35ED">
      <w:pPr>
        <w:spacing w:before="240" w:line="12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35ED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8C7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VICEPREFETTO </w:t>
      </w:r>
      <w:r w:rsidR="00C328C7">
        <w:rPr>
          <w:rFonts w:ascii="Times New Roman" w:hAnsi="Times New Roman" w:cs="Times New Roman"/>
          <w:sz w:val="24"/>
          <w:szCs w:val="24"/>
        </w:rPr>
        <w:t xml:space="preserve">VICARIO </w:t>
      </w:r>
      <w:proofErr w:type="spellStart"/>
      <w:r w:rsidR="00EA35ED">
        <w:rPr>
          <w:rFonts w:ascii="Times New Roman" w:hAnsi="Times New Roman" w:cs="Times New Roman"/>
          <w:sz w:val="24"/>
          <w:szCs w:val="24"/>
        </w:rPr>
        <w:t>t.a</w:t>
      </w:r>
      <w:proofErr w:type="spellEnd"/>
      <w:r w:rsidR="00EA35ED">
        <w:rPr>
          <w:rFonts w:ascii="Times New Roman" w:hAnsi="Times New Roman" w:cs="Times New Roman"/>
          <w:sz w:val="24"/>
          <w:szCs w:val="24"/>
        </w:rPr>
        <w:t>.</w:t>
      </w:r>
    </w:p>
    <w:p w14:paraId="7425AC77" w14:textId="0A2A8E95" w:rsidR="00C328C7" w:rsidRDefault="00EA35ED" w:rsidP="00EA35ED">
      <w:pPr>
        <w:spacing w:before="240" w:line="12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il Capo di Gabinetto</w:t>
      </w:r>
    </w:p>
    <w:p w14:paraId="1DACB044" w14:textId="6E8ABAA9" w:rsidR="00EA35ED" w:rsidRPr="00F32D26" w:rsidRDefault="00EA35ED" w:rsidP="00EA35ED">
      <w:pPr>
        <w:spacing w:before="240" w:line="12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D’Alessandro</w:t>
      </w:r>
      <w:bookmarkStart w:id="0" w:name="_GoBack"/>
      <w:bookmarkEnd w:id="0"/>
    </w:p>
    <w:sectPr w:rsidR="00EA35ED" w:rsidRPr="00F32D2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25C6E" w14:textId="77777777" w:rsidR="00C751D9" w:rsidRDefault="00C751D9" w:rsidP="00AC0FA6">
      <w:pPr>
        <w:spacing w:after="0" w:line="240" w:lineRule="auto"/>
      </w:pPr>
      <w:r>
        <w:separator/>
      </w:r>
    </w:p>
  </w:endnote>
  <w:endnote w:type="continuationSeparator" w:id="0">
    <w:p w14:paraId="71CAE86F" w14:textId="77777777" w:rsidR="00C751D9" w:rsidRDefault="00C751D9" w:rsidP="00AC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381581"/>
      <w:docPartObj>
        <w:docPartGallery w:val="Page Numbers (Bottom of Page)"/>
        <w:docPartUnique/>
      </w:docPartObj>
    </w:sdtPr>
    <w:sdtEndPr/>
    <w:sdtContent>
      <w:p w14:paraId="1A513AD1" w14:textId="6B08F53C" w:rsidR="00AC0FA6" w:rsidRDefault="00AC0F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DB">
          <w:rPr>
            <w:noProof/>
          </w:rPr>
          <w:t>4</w:t>
        </w:r>
        <w:r>
          <w:fldChar w:fldCharType="end"/>
        </w:r>
      </w:p>
    </w:sdtContent>
  </w:sdt>
  <w:p w14:paraId="0E95FD72" w14:textId="77777777" w:rsidR="00AC0FA6" w:rsidRDefault="00AC0F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26E0B" w14:textId="77777777" w:rsidR="00C751D9" w:rsidRDefault="00C751D9" w:rsidP="00AC0FA6">
      <w:pPr>
        <w:spacing w:after="0" w:line="240" w:lineRule="auto"/>
      </w:pPr>
      <w:r>
        <w:separator/>
      </w:r>
    </w:p>
  </w:footnote>
  <w:footnote w:type="continuationSeparator" w:id="0">
    <w:p w14:paraId="217D2217" w14:textId="77777777" w:rsidR="00C751D9" w:rsidRDefault="00C751D9" w:rsidP="00AC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189B"/>
    <w:multiLevelType w:val="hybridMultilevel"/>
    <w:tmpl w:val="64E4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1C06"/>
    <w:multiLevelType w:val="hybridMultilevel"/>
    <w:tmpl w:val="3746D0CE"/>
    <w:lvl w:ilvl="0" w:tplc="5B880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6D7D"/>
    <w:multiLevelType w:val="hybridMultilevel"/>
    <w:tmpl w:val="075217C6"/>
    <w:lvl w:ilvl="0" w:tplc="4C40AE66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15CA"/>
    <w:multiLevelType w:val="hybridMultilevel"/>
    <w:tmpl w:val="1A06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C3FED"/>
    <w:multiLevelType w:val="hybridMultilevel"/>
    <w:tmpl w:val="42C02716"/>
    <w:lvl w:ilvl="0" w:tplc="5B880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6B"/>
    <w:rsid w:val="000227F6"/>
    <w:rsid w:val="00046469"/>
    <w:rsid w:val="00055D03"/>
    <w:rsid w:val="001246F4"/>
    <w:rsid w:val="00193D2B"/>
    <w:rsid w:val="001B3D23"/>
    <w:rsid w:val="00220CDB"/>
    <w:rsid w:val="002A19FC"/>
    <w:rsid w:val="00325E24"/>
    <w:rsid w:val="00365101"/>
    <w:rsid w:val="00390588"/>
    <w:rsid w:val="003B2F69"/>
    <w:rsid w:val="003B5CE3"/>
    <w:rsid w:val="003C0DD0"/>
    <w:rsid w:val="00420A93"/>
    <w:rsid w:val="00497B41"/>
    <w:rsid w:val="004C791C"/>
    <w:rsid w:val="00530F9F"/>
    <w:rsid w:val="00547D68"/>
    <w:rsid w:val="005605F3"/>
    <w:rsid w:val="005E19D5"/>
    <w:rsid w:val="006A08DC"/>
    <w:rsid w:val="006F3601"/>
    <w:rsid w:val="006F3F48"/>
    <w:rsid w:val="007E135A"/>
    <w:rsid w:val="0080096B"/>
    <w:rsid w:val="008F130A"/>
    <w:rsid w:val="0094486B"/>
    <w:rsid w:val="00984372"/>
    <w:rsid w:val="00991E7B"/>
    <w:rsid w:val="009B19EB"/>
    <w:rsid w:val="00A172A3"/>
    <w:rsid w:val="00AC0FA6"/>
    <w:rsid w:val="00B149A8"/>
    <w:rsid w:val="00B53DB1"/>
    <w:rsid w:val="00B5457B"/>
    <w:rsid w:val="00B55BCA"/>
    <w:rsid w:val="00B923F4"/>
    <w:rsid w:val="00C328C7"/>
    <w:rsid w:val="00C526EA"/>
    <w:rsid w:val="00C53019"/>
    <w:rsid w:val="00C751D9"/>
    <w:rsid w:val="00DA5FB5"/>
    <w:rsid w:val="00DB5E27"/>
    <w:rsid w:val="00E752CB"/>
    <w:rsid w:val="00EA35ED"/>
    <w:rsid w:val="00EE6F35"/>
    <w:rsid w:val="00F32D26"/>
    <w:rsid w:val="00F44A19"/>
    <w:rsid w:val="00F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2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3D23"/>
    <w:pPr>
      <w:keepNext/>
      <w:spacing w:after="0" w:line="240" w:lineRule="auto"/>
      <w:jc w:val="center"/>
      <w:outlineLvl w:val="0"/>
    </w:pPr>
    <w:rPr>
      <w:rFonts w:ascii="English157 BT" w:eastAsia="Times New Roman" w:hAnsi="English157 BT" w:cs="Times New Roman"/>
      <w:i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94486B"/>
  </w:style>
  <w:style w:type="paragraph" w:styleId="Paragrafoelenco">
    <w:name w:val="List Paragraph"/>
    <w:basedOn w:val="Normale"/>
    <w:uiPriority w:val="34"/>
    <w:qFormat/>
    <w:rsid w:val="00DB5E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5E2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5E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D2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B3D23"/>
    <w:rPr>
      <w:rFonts w:ascii="English157 BT" w:eastAsia="Times New Roman" w:hAnsi="English157 BT" w:cs="Times New Roman"/>
      <w:i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B3D23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B3D23"/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0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A6"/>
  </w:style>
  <w:style w:type="paragraph" w:styleId="Pidipagina">
    <w:name w:val="footer"/>
    <w:basedOn w:val="Normale"/>
    <w:link w:val="PidipaginaCarattere"/>
    <w:uiPriority w:val="99"/>
    <w:unhideWhenUsed/>
    <w:rsid w:val="00AC0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3D23"/>
    <w:pPr>
      <w:keepNext/>
      <w:spacing w:after="0" w:line="240" w:lineRule="auto"/>
      <w:jc w:val="center"/>
      <w:outlineLvl w:val="0"/>
    </w:pPr>
    <w:rPr>
      <w:rFonts w:ascii="English157 BT" w:eastAsia="Times New Roman" w:hAnsi="English157 BT" w:cs="Times New Roman"/>
      <w:i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94486B"/>
  </w:style>
  <w:style w:type="paragraph" w:styleId="Paragrafoelenco">
    <w:name w:val="List Paragraph"/>
    <w:basedOn w:val="Normale"/>
    <w:uiPriority w:val="34"/>
    <w:qFormat/>
    <w:rsid w:val="00DB5E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5E2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5E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D2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B3D23"/>
    <w:rPr>
      <w:rFonts w:ascii="English157 BT" w:eastAsia="Times New Roman" w:hAnsi="English157 BT" w:cs="Times New Roman"/>
      <w:i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B3D23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B3D23"/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0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A6"/>
  </w:style>
  <w:style w:type="paragraph" w:styleId="Pidipagina">
    <w:name w:val="footer"/>
    <w:basedOn w:val="Normale"/>
    <w:link w:val="PidipaginaCarattere"/>
    <w:uiPriority w:val="99"/>
    <w:unhideWhenUsed/>
    <w:rsid w:val="00AC0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prefcb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Maria Correra</dc:creator>
  <cp:lastModifiedBy>dpp1045800</cp:lastModifiedBy>
  <cp:revision>10</cp:revision>
  <cp:lastPrinted>2022-10-19T08:50:00Z</cp:lastPrinted>
  <dcterms:created xsi:type="dcterms:W3CDTF">2022-12-28T11:32:00Z</dcterms:created>
  <dcterms:modified xsi:type="dcterms:W3CDTF">2023-01-26T08:08:00Z</dcterms:modified>
</cp:coreProperties>
</file>