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85DA" w14:textId="77777777" w:rsidR="00634115" w:rsidRDefault="00634115" w:rsidP="00634115">
      <w:pPr>
        <w:pStyle w:val="Intestazione"/>
        <w:tabs>
          <w:tab w:val="left" w:pos="708"/>
        </w:tabs>
        <w:jc w:val="both"/>
        <w:rPr>
          <w:rFonts w:ascii="Bookman Old Style" w:hAnsi="Bookman Old Style"/>
          <w:sz w:val="22"/>
          <w:szCs w:val="22"/>
        </w:rPr>
      </w:pP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3B35C6">
        <w:rPr>
          <w:rFonts w:ascii="Bookman Old Style" w:hAnsi="Bookman Old Style"/>
          <w:sz w:val="22"/>
          <w:szCs w:val="22"/>
        </w:rPr>
        <w:t>Ascoli Piceno, data del protocollo</w:t>
      </w:r>
    </w:p>
    <w:p w14:paraId="67C6E5B1" w14:textId="77777777" w:rsidR="003B35C6" w:rsidRDefault="003B35C6" w:rsidP="00634115">
      <w:pPr>
        <w:pStyle w:val="Intestazione"/>
        <w:tabs>
          <w:tab w:val="left" w:pos="708"/>
        </w:tabs>
        <w:jc w:val="both"/>
        <w:rPr>
          <w:rFonts w:ascii="Bookman Old Style" w:hAnsi="Bookman Old Style"/>
          <w:sz w:val="22"/>
          <w:szCs w:val="22"/>
        </w:rPr>
      </w:pPr>
    </w:p>
    <w:p w14:paraId="5466ADE9" w14:textId="77777777" w:rsidR="003B35C6" w:rsidRPr="003B35C6" w:rsidRDefault="003B35C6" w:rsidP="003B35C6">
      <w:pPr>
        <w:pStyle w:val="Intestazione"/>
        <w:tabs>
          <w:tab w:val="left" w:pos="708"/>
        </w:tabs>
        <w:jc w:val="center"/>
        <w:rPr>
          <w:rFonts w:ascii="Bookman Old Style" w:hAnsi="Bookman Old Style"/>
          <w:b/>
          <w:sz w:val="22"/>
          <w:szCs w:val="22"/>
        </w:rPr>
      </w:pPr>
      <w:r w:rsidRPr="003B35C6">
        <w:rPr>
          <w:rFonts w:ascii="Bookman Old Style" w:hAnsi="Bookman Old Style"/>
          <w:b/>
          <w:sz w:val="22"/>
          <w:szCs w:val="22"/>
        </w:rPr>
        <w:t>DETERMINA A CONTRARRE AI SENSI DELL’ART.32 DEL D.LGS. N.50/2016</w:t>
      </w:r>
    </w:p>
    <w:p w14:paraId="022AB218" w14:textId="77777777" w:rsidR="00634115" w:rsidRDefault="00634115" w:rsidP="00634115">
      <w:pPr>
        <w:pStyle w:val="Intestazione"/>
        <w:tabs>
          <w:tab w:val="left" w:pos="708"/>
        </w:tabs>
        <w:jc w:val="both"/>
        <w:rPr>
          <w:rFonts w:ascii="Bookman Old Style" w:hAnsi="Bookman Old Style"/>
          <w:sz w:val="22"/>
          <w:szCs w:val="22"/>
        </w:rPr>
      </w:pPr>
    </w:p>
    <w:p w14:paraId="3AFEEC28" w14:textId="77777777" w:rsidR="00634115" w:rsidRDefault="00634115" w:rsidP="00634115">
      <w:pPr>
        <w:pStyle w:val="Intestazione"/>
        <w:tabs>
          <w:tab w:val="left" w:pos="708"/>
        </w:tabs>
        <w:ind w:firstLine="709"/>
        <w:jc w:val="both"/>
        <w:rPr>
          <w:rFonts w:ascii="Bookman Old Style" w:hAnsi="Bookman Old Style"/>
          <w:sz w:val="22"/>
          <w:szCs w:val="22"/>
        </w:rPr>
      </w:pPr>
      <w:r>
        <w:rPr>
          <w:rFonts w:ascii="Bookman Old Style" w:hAnsi="Bookman Old Style"/>
          <w:sz w:val="22"/>
          <w:szCs w:val="22"/>
        </w:rPr>
        <w:t>VISTO il D. Lgs. 142/2015, attuazione della direttiva 2013/33/UE, recante norme relative all’accoglienza dei richiedenti protezione internazionale, nonché della direttiva 2013/32/UE, recante procedure comuni ai fini del riconoscimento e della revoca dello status di protezione internazionale;</w:t>
      </w:r>
    </w:p>
    <w:p w14:paraId="60B67F2B" w14:textId="77777777" w:rsidR="00634115" w:rsidRDefault="00634115" w:rsidP="00634115">
      <w:pPr>
        <w:pStyle w:val="Intestazione"/>
        <w:tabs>
          <w:tab w:val="left" w:pos="708"/>
        </w:tabs>
        <w:jc w:val="both"/>
        <w:rPr>
          <w:rFonts w:ascii="Bookman Old Style" w:hAnsi="Bookman Old Style"/>
          <w:sz w:val="22"/>
          <w:szCs w:val="22"/>
        </w:rPr>
      </w:pPr>
    </w:p>
    <w:p w14:paraId="54396DC9" w14:textId="77777777" w:rsidR="00634115" w:rsidRDefault="00634115" w:rsidP="00634115">
      <w:pPr>
        <w:pStyle w:val="Intestazione"/>
        <w:tabs>
          <w:tab w:val="left" w:pos="708"/>
        </w:tabs>
        <w:ind w:firstLine="709"/>
        <w:jc w:val="both"/>
        <w:rPr>
          <w:rFonts w:ascii="Bookman Old Style" w:hAnsi="Bookman Old Style"/>
          <w:sz w:val="22"/>
          <w:szCs w:val="22"/>
        </w:rPr>
      </w:pPr>
      <w:r>
        <w:rPr>
          <w:rFonts w:ascii="Bookman Old Style" w:hAnsi="Bookman Old Style"/>
          <w:sz w:val="22"/>
          <w:szCs w:val="22"/>
        </w:rPr>
        <w:t>VISTO il Codice degli Appalti Pubblici D. Lgs. 50/2016 e le successive modifiche apportate dal D. Lgs. 56/2017;</w:t>
      </w:r>
    </w:p>
    <w:p w14:paraId="3A3597B4" w14:textId="77777777" w:rsidR="00634115" w:rsidRDefault="00634115" w:rsidP="00634115">
      <w:pPr>
        <w:pStyle w:val="Intestazione"/>
        <w:tabs>
          <w:tab w:val="left" w:pos="708"/>
        </w:tabs>
        <w:jc w:val="both"/>
        <w:rPr>
          <w:rFonts w:ascii="Bookman Old Style" w:hAnsi="Bookman Old Style"/>
          <w:sz w:val="22"/>
          <w:szCs w:val="22"/>
        </w:rPr>
      </w:pPr>
    </w:p>
    <w:p w14:paraId="3509AC82" w14:textId="77777777" w:rsidR="00634115" w:rsidRDefault="00634115" w:rsidP="00634115">
      <w:pPr>
        <w:pStyle w:val="Intestazione"/>
        <w:tabs>
          <w:tab w:val="left" w:pos="708"/>
        </w:tabs>
        <w:ind w:firstLine="709"/>
        <w:jc w:val="both"/>
        <w:rPr>
          <w:rFonts w:ascii="Bookman Old Style" w:hAnsi="Bookman Old Style"/>
          <w:sz w:val="22"/>
          <w:szCs w:val="22"/>
        </w:rPr>
      </w:pPr>
      <w:r>
        <w:rPr>
          <w:rFonts w:ascii="Bookman Old Style" w:hAnsi="Bookman Old Style"/>
          <w:sz w:val="22"/>
          <w:szCs w:val="22"/>
        </w:rPr>
        <w:t>VISTA la circolare n. 00</w:t>
      </w:r>
      <w:r w:rsidR="003622DC">
        <w:rPr>
          <w:rFonts w:ascii="Bookman Old Style" w:hAnsi="Bookman Old Style"/>
          <w:sz w:val="22"/>
          <w:szCs w:val="22"/>
        </w:rPr>
        <w:t>11297</w:t>
      </w:r>
      <w:r>
        <w:rPr>
          <w:rFonts w:ascii="Bookman Old Style" w:hAnsi="Bookman Old Style"/>
          <w:sz w:val="22"/>
          <w:szCs w:val="22"/>
        </w:rPr>
        <w:t xml:space="preserve"> in data 2</w:t>
      </w:r>
      <w:r w:rsidR="003622DC">
        <w:rPr>
          <w:rFonts w:ascii="Bookman Old Style" w:hAnsi="Bookman Old Style"/>
          <w:sz w:val="22"/>
          <w:szCs w:val="22"/>
        </w:rPr>
        <w:t>4</w:t>
      </w:r>
      <w:r>
        <w:rPr>
          <w:rFonts w:ascii="Bookman Old Style" w:hAnsi="Bookman Old Style"/>
          <w:sz w:val="22"/>
          <w:szCs w:val="22"/>
        </w:rPr>
        <w:t>/</w:t>
      </w:r>
      <w:r w:rsidR="003622DC">
        <w:rPr>
          <w:rFonts w:ascii="Bookman Old Style" w:hAnsi="Bookman Old Style"/>
          <w:sz w:val="22"/>
          <w:szCs w:val="22"/>
        </w:rPr>
        <w:t>02</w:t>
      </w:r>
      <w:r>
        <w:rPr>
          <w:rFonts w:ascii="Bookman Old Style" w:hAnsi="Bookman Old Style"/>
          <w:sz w:val="22"/>
          <w:szCs w:val="22"/>
        </w:rPr>
        <w:t>/20</w:t>
      </w:r>
      <w:r w:rsidR="003622DC">
        <w:rPr>
          <w:rFonts w:ascii="Bookman Old Style" w:hAnsi="Bookman Old Style"/>
          <w:sz w:val="22"/>
          <w:szCs w:val="22"/>
        </w:rPr>
        <w:t>21</w:t>
      </w:r>
      <w:r>
        <w:rPr>
          <w:rFonts w:ascii="Bookman Old Style" w:hAnsi="Bookman Old Style"/>
          <w:sz w:val="22"/>
          <w:szCs w:val="22"/>
        </w:rPr>
        <w:t xml:space="preserve"> del Ministero dell’Interno – Dipartimento Libertà Civili e Immigrazione, con la quale è stato trasmesso il decreto del Ministro dell’Interno, </w:t>
      </w:r>
      <w:r>
        <w:rPr>
          <w:rFonts w:ascii="Bookman Old Style" w:hAnsi="Bookman Old Style" w:cs="Arial"/>
          <w:sz w:val="22"/>
          <w:szCs w:val="22"/>
        </w:rPr>
        <w:t>datato 2</w:t>
      </w:r>
      <w:r w:rsidR="008B7288">
        <w:rPr>
          <w:rFonts w:ascii="Bookman Old Style" w:hAnsi="Bookman Old Style" w:cs="Arial"/>
          <w:sz w:val="22"/>
          <w:szCs w:val="22"/>
        </w:rPr>
        <w:t>9</w:t>
      </w:r>
      <w:r>
        <w:rPr>
          <w:rFonts w:ascii="Bookman Old Style" w:hAnsi="Bookman Old Style" w:cs="Arial"/>
          <w:sz w:val="22"/>
          <w:szCs w:val="22"/>
        </w:rPr>
        <w:t>/</w:t>
      </w:r>
      <w:r w:rsidR="003622DC">
        <w:rPr>
          <w:rFonts w:ascii="Bookman Old Style" w:hAnsi="Bookman Old Style" w:cs="Arial"/>
          <w:sz w:val="22"/>
          <w:szCs w:val="22"/>
        </w:rPr>
        <w:t>01</w:t>
      </w:r>
      <w:r>
        <w:rPr>
          <w:rFonts w:ascii="Bookman Old Style" w:hAnsi="Bookman Old Style" w:cs="Arial"/>
          <w:sz w:val="22"/>
          <w:szCs w:val="22"/>
        </w:rPr>
        <w:t>/20</w:t>
      </w:r>
      <w:r w:rsidR="003622DC">
        <w:rPr>
          <w:rFonts w:ascii="Bookman Old Style" w:hAnsi="Bookman Old Style" w:cs="Arial"/>
          <w:sz w:val="22"/>
          <w:szCs w:val="22"/>
        </w:rPr>
        <w:t>21</w:t>
      </w:r>
      <w:r>
        <w:rPr>
          <w:rFonts w:ascii="Bookman Old Style" w:hAnsi="Bookman Old Style" w:cs="Arial"/>
          <w:sz w:val="22"/>
          <w:szCs w:val="22"/>
        </w:rPr>
        <w:t>,</w:t>
      </w:r>
      <w:r>
        <w:rPr>
          <w:rFonts w:ascii="Bookman Old Style" w:hAnsi="Bookman Old Style"/>
          <w:sz w:val="22"/>
          <w:szCs w:val="22"/>
        </w:rPr>
        <w:t xml:space="preserve"> recante il “Nuovo schema di capitolato di appalto per la fornitura di beni e di servizi relativi alla gestione e al funzionamento dei Centri di accoglienza” </w:t>
      </w:r>
      <w:r w:rsidR="00AE32E4">
        <w:rPr>
          <w:rFonts w:ascii="Bookman Old Style" w:hAnsi="Bookman Old Style"/>
          <w:sz w:val="22"/>
          <w:szCs w:val="22"/>
        </w:rPr>
        <w:t xml:space="preserve">per </w:t>
      </w:r>
      <w:r>
        <w:rPr>
          <w:rFonts w:ascii="Bookman Old Style" w:hAnsi="Bookman Old Style"/>
          <w:sz w:val="22"/>
          <w:szCs w:val="22"/>
        </w:rPr>
        <w:t>cittadini stranieri richiedenti protezione internazionale;</w:t>
      </w:r>
    </w:p>
    <w:p w14:paraId="4F2BC214" w14:textId="77777777" w:rsidR="00C72E4E" w:rsidRDefault="00C72E4E" w:rsidP="00C72E4E">
      <w:pPr>
        <w:pStyle w:val="Nessunaspaziatura"/>
        <w:spacing w:line="276" w:lineRule="auto"/>
        <w:jc w:val="both"/>
        <w:rPr>
          <w:rFonts w:ascii="Bookman Old Style" w:hAnsi="Bookman Old Style"/>
        </w:rPr>
      </w:pPr>
    </w:p>
    <w:p w14:paraId="5CC164B6" w14:textId="77777777" w:rsidR="00C72E4E" w:rsidRDefault="00C72E4E" w:rsidP="00C72E4E">
      <w:pPr>
        <w:pStyle w:val="Nessunaspaziatura"/>
        <w:spacing w:line="276" w:lineRule="auto"/>
        <w:jc w:val="both"/>
        <w:rPr>
          <w:rFonts w:ascii="Bookman Old Style" w:hAnsi="Bookman Old Style"/>
        </w:rPr>
      </w:pPr>
      <w:r>
        <w:rPr>
          <w:rFonts w:ascii="Bookman Old Style" w:hAnsi="Bookman Old Style"/>
        </w:rPr>
        <w:t>VISTA la successiva circolare n.0023909 in data 26/04/2021 con la quale il Ministero dell’Interno ha dettato istruzioni in merito ad alcuni profili applicativi;</w:t>
      </w:r>
    </w:p>
    <w:p w14:paraId="02418618" w14:textId="77777777" w:rsidR="00634115" w:rsidRDefault="00634115" w:rsidP="00634115">
      <w:pPr>
        <w:pStyle w:val="Intestazione"/>
        <w:tabs>
          <w:tab w:val="left" w:pos="708"/>
        </w:tabs>
        <w:ind w:firstLine="709"/>
        <w:jc w:val="both"/>
        <w:rPr>
          <w:rFonts w:ascii="Bookman Old Style" w:hAnsi="Bookman Old Style"/>
          <w:sz w:val="22"/>
          <w:szCs w:val="22"/>
        </w:rPr>
      </w:pPr>
    </w:p>
    <w:p w14:paraId="26C1F061" w14:textId="77777777" w:rsidR="00634115" w:rsidRDefault="00634115" w:rsidP="00634115">
      <w:pPr>
        <w:pStyle w:val="Intestazione"/>
        <w:tabs>
          <w:tab w:val="left" w:pos="708"/>
        </w:tabs>
        <w:ind w:firstLine="709"/>
        <w:jc w:val="both"/>
        <w:rPr>
          <w:rFonts w:ascii="Bookman Old Style" w:hAnsi="Bookman Old Style"/>
          <w:sz w:val="22"/>
          <w:szCs w:val="22"/>
        </w:rPr>
      </w:pPr>
      <w:r>
        <w:rPr>
          <w:rFonts w:ascii="Bookman Old Style" w:hAnsi="Bookman Old Style"/>
          <w:sz w:val="22"/>
          <w:szCs w:val="22"/>
        </w:rPr>
        <w:t xml:space="preserve">CONSIDERATO che, attualmente, nel territorio della provincia di </w:t>
      </w:r>
      <w:r w:rsidR="000D5FA0">
        <w:rPr>
          <w:rFonts w:ascii="Bookman Old Style" w:hAnsi="Bookman Old Style"/>
          <w:sz w:val="22"/>
          <w:szCs w:val="22"/>
        </w:rPr>
        <w:t>Ascoli Piceno</w:t>
      </w:r>
      <w:r>
        <w:rPr>
          <w:rFonts w:ascii="Bookman Old Style" w:hAnsi="Bookman Old Style"/>
          <w:sz w:val="22"/>
          <w:szCs w:val="22"/>
        </w:rPr>
        <w:t xml:space="preserve"> sono presenti “Centri Straordinari di Accoglienza” previsti dall’art. 11 del D. Lgs. 142/2015, costituiti da </w:t>
      </w:r>
      <w:r w:rsidR="00635FB6">
        <w:rPr>
          <w:rFonts w:ascii="Bookman Old Style" w:hAnsi="Bookman Old Style"/>
          <w:sz w:val="22"/>
          <w:szCs w:val="22"/>
        </w:rPr>
        <w:t xml:space="preserve">strutture di cui all’articolo 1 comma 2 lettera  A)- </w:t>
      </w:r>
      <w:r>
        <w:rPr>
          <w:rFonts w:ascii="Bookman Old Style" w:hAnsi="Bookman Old Style"/>
          <w:sz w:val="22"/>
          <w:szCs w:val="22"/>
        </w:rPr>
        <w:t>singole unità abitative e strutture</w:t>
      </w:r>
      <w:r w:rsidR="00635FB6">
        <w:rPr>
          <w:rFonts w:ascii="Bookman Old Style" w:hAnsi="Bookman Old Style"/>
          <w:sz w:val="22"/>
          <w:szCs w:val="22"/>
        </w:rPr>
        <w:t xml:space="preserve"> di</w:t>
      </w:r>
      <w:r>
        <w:rPr>
          <w:rFonts w:ascii="Bookman Old Style" w:hAnsi="Bookman Old Style"/>
          <w:sz w:val="22"/>
          <w:szCs w:val="22"/>
        </w:rPr>
        <w:t xml:space="preserve"> </w:t>
      </w:r>
      <w:r w:rsidR="00635FB6">
        <w:rPr>
          <w:rFonts w:ascii="Bookman Old Style" w:hAnsi="Bookman Old Style"/>
          <w:sz w:val="22"/>
          <w:szCs w:val="22"/>
        </w:rPr>
        <w:t>cui all’articolo 1 comma 2 lettera B-</w:t>
      </w:r>
      <w:r>
        <w:rPr>
          <w:rFonts w:ascii="Bookman Old Style" w:hAnsi="Bookman Old Style"/>
          <w:sz w:val="22"/>
          <w:szCs w:val="22"/>
        </w:rPr>
        <w:t xml:space="preserve"> centri collettivi con una capienza fino ad un massimo di circa 50 posti;</w:t>
      </w:r>
    </w:p>
    <w:p w14:paraId="792F92C7" w14:textId="77777777" w:rsidR="00634115" w:rsidRDefault="00634115" w:rsidP="00634115">
      <w:pPr>
        <w:pStyle w:val="Intestazione"/>
        <w:tabs>
          <w:tab w:val="left" w:pos="708"/>
        </w:tabs>
        <w:ind w:firstLine="709"/>
        <w:jc w:val="both"/>
        <w:rPr>
          <w:rFonts w:ascii="Bookman Old Style" w:hAnsi="Bookman Old Style"/>
          <w:sz w:val="22"/>
          <w:szCs w:val="22"/>
        </w:rPr>
      </w:pPr>
    </w:p>
    <w:p w14:paraId="311ECF76" w14:textId="77777777" w:rsidR="00634115" w:rsidRDefault="00634115" w:rsidP="00634115">
      <w:pPr>
        <w:ind w:firstLine="709"/>
        <w:jc w:val="both"/>
        <w:rPr>
          <w:rFonts w:ascii="Bookman Old Style" w:hAnsi="Bookman Old Style"/>
          <w:sz w:val="22"/>
          <w:szCs w:val="22"/>
        </w:rPr>
      </w:pPr>
      <w:r>
        <w:rPr>
          <w:rFonts w:ascii="Bookman Old Style" w:hAnsi="Bookman Old Style"/>
          <w:sz w:val="22"/>
          <w:szCs w:val="22"/>
        </w:rPr>
        <w:t>CONSIDERATO che il “Nuovo schema di capitolato di appalto per la fornitura di beni e di servizi relativi alla gestione e al funzionamento dei Centri di accoglienza” prevede, tra l’altro, la possibilità di accogliere i richiedenti protezione internazionale in</w:t>
      </w:r>
      <w:r w:rsidR="00AE32E4">
        <w:rPr>
          <w:rFonts w:ascii="Bookman Old Style" w:hAnsi="Bookman Old Style"/>
          <w:sz w:val="22"/>
          <w:szCs w:val="22"/>
        </w:rPr>
        <w:t xml:space="preserve"> alcune tipologie di strutture, tra le quali</w:t>
      </w:r>
      <w:r>
        <w:rPr>
          <w:rFonts w:ascii="Bookman Old Style" w:hAnsi="Bookman Old Style"/>
          <w:sz w:val="22"/>
          <w:szCs w:val="22"/>
        </w:rPr>
        <w:t xml:space="preserve">: </w:t>
      </w:r>
    </w:p>
    <w:p w14:paraId="06099C64" w14:textId="77777777" w:rsidR="00635FB6" w:rsidRPr="00635FB6" w:rsidRDefault="00635FB6" w:rsidP="00635FB6">
      <w:pPr>
        <w:pStyle w:val="Intestazione"/>
        <w:tabs>
          <w:tab w:val="clear" w:pos="4819"/>
          <w:tab w:val="clear" w:pos="9638"/>
        </w:tabs>
        <w:spacing w:line="276" w:lineRule="auto"/>
        <w:jc w:val="both"/>
        <w:rPr>
          <w:rFonts w:ascii="Bookman Old Style" w:hAnsi="Bookman Old Style"/>
          <w:sz w:val="22"/>
          <w:szCs w:val="22"/>
        </w:rPr>
      </w:pPr>
      <w:r>
        <w:rPr>
          <w:rFonts w:ascii="Bookman Old Style" w:hAnsi="Bookman Old Style" w:cs="Arial"/>
        </w:rPr>
        <w:t xml:space="preserve">  </w:t>
      </w:r>
      <w:r w:rsidRPr="00635FB6">
        <w:rPr>
          <w:rFonts w:ascii="Bookman Old Style" w:hAnsi="Bookman Old Style" w:cs="Arial"/>
          <w:sz w:val="22"/>
          <w:szCs w:val="22"/>
        </w:rPr>
        <w:t>1-c</w:t>
      </w:r>
      <w:r w:rsidR="00634115" w:rsidRPr="00635FB6">
        <w:rPr>
          <w:rFonts w:ascii="Bookman Old Style" w:hAnsi="Bookman Old Style" w:cs="Arial"/>
          <w:sz w:val="22"/>
          <w:szCs w:val="22"/>
        </w:rPr>
        <w:t>entri costituiti da singole unità abitative con capacità ricettiva fino ad un massimo di 50 posti complessivi che consentono l’autonoma gestione dei servizi di preparazione dei pasti, di lavanderia e di pulizia e igiene ambientale, da parte dei migranti e la possibilità dell’erogazione dei rimanenti servizi in modalità di rete;</w:t>
      </w:r>
      <w:r w:rsidRPr="00635FB6">
        <w:rPr>
          <w:rFonts w:ascii="Bookman Old Style" w:hAnsi="Bookman Old Style" w:cs="Arial"/>
          <w:sz w:val="22"/>
          <w:szCs w:val="22"/>
        </w:rPr>
        <w:t>( singole unità abitative collocate nello stesso comune ovvero in comuni contigui la cui distanza consenta, in ogni caso, un tempo di percorrenza, di norma, non superiore a 30 minuti).</w:t>
      </w:r>
    </w:p>
    <w:p w14:paraId="39C1567C" w14:textId="77777777" w:rsidR="00635FB6" w:rsidRPr="00635FB6" w:rsidRDefault="00635FB6" w:rsidP="00635FB6">
      <w:pPr>
        <w:ind w:left="720"/>
        <w:jc w:val="both"/>
        <w:rPr>
          <w:rFonts w:ascii="Bookman Old Style" w:hAnsi="Bookman Old Style" w:cs="Arial"/>
          <w:sz w:val="22"/>
          <w:szCs w:val="22"/>
        </w:rPr>
      </w:pPr>
    </w:p>
    <w:p w14:paraId="491FA8B1" w14:textId="77777777" w:rsidR="00634115" w:rsidRPr="00635FB6" w:rsidRDefault="00635FB6" w:rsidP="00635FB6">
      <w:pPr>
        <w:ind w:left="720"/>
        <w:jc w:val="both"/>
        <w:rPr>
          <w:rFonts w:ascii="Bookman Old Style" w:hAnsi="Bookman Old Style" w:cs="Arial"/>
          <w:sz w:val="22"/>
          <w:szCs w:val="22"/>
        </w:rPr>
      </w:pPr>
      <w:r w:rsidRPr="00635FB6">
        <w:rPr>
          <w:rFonts w:ascii="Bookman Old Style" w:hAnsi="Bookman Old Style" w:cs="Arial"/>
          <w:sz w:val="22"/>
          <w:szCs w:val="22"/>
        </w:rPr>
        <w:t xml:space="preserve">2- </w:t>
      </w:r>
      <w:r w:rsidR="00634115" w:rsidRPr="00635FB6">
        <w:rPr>
          <w:rFonts w:ascii="Bookman Old Style" w:hAnsi="Bookman Old Style" w:cs="Arial"/>
          <w:sz w:val="22"/>
          <w:szCs w:val="22"/>
        </w:rPr>
        <w:t>centri collettivi, con capacità ricettiva di massimo 50 posti, nei quali i servizi devono essere erogati direttamente dall’ente gestore</w:t>
      </w:r>
      <w:r w:rsidR="00EC0014">
        <w:rPr>
          <w:rFonts w:ascii="Bookman Old Style" w:hAnsi="Bookman Old Style" w:cs="Arial"/>
          <w:sz w:val="22"/>
          <w:szCs w:val="22"/>
        </w:rPr>
        <w:t>;</w:t>
      </w:r>
      <w:r w:rsidR="00634115" w:rsidRPr="00635FB6">
        <w:rPr>
          <w:rFonts w:ascii="Bookman Old Style" w:hAnsi="Bookman Old Style" w:cs="Arial"/>
          <w:sz w:val="22"/>
          <w:szCs w:val="22"/>
        </w:rPr>
        <w:t xml:space="preserve"> </w:t>
      </w:r>
    </w:p>
    <w:p w14:paraId="5E975961" w14:textId="77777777" w:rsidR="000C1EE4" w:rsidRDefault="000C1EE4" w:rsidP="00634115">
      <w:pPr>
        <w:pStyle w:val="Intestazione"/>
        <w:tabs>
          <w:tab w:val="left" w:pos="708"/>
        </w:tabs>
        <w:ind w:firstLine="709"/>
        <w:jc w:val="both"/>
        <w:rPr>
          <w:rFonts w:ascii="Bookman Old Style" w:hAnsi="Bookman Old Style" w:cs="Arial"/>
          <w:sz w:val="22"/>
          <w:szCs w:val="22"/>
        </w:rPr>
      </w:pPr>
    </w:p>
    <w:p w14:paraId="6F4CB839" w14:textId="77777777" w:rsidR="00634115" w:rsidRDefault="00634115" w:rsidP="00634115">
      <w:pPr>
        <w:pStyle w:val="Intestazione"/>
        <w:tabs>
          <w:tab w:val="left" w:pos="708"/>
        </w:tabs>
        <w:ind w:firstLine="709"/>
        <w:jc w:val="both"/>
        <w:rPr>
          <w:rFonts w:ascii="Bookman Old Style" w:hAnsi="Bookman Old Style"/>
          <w:sz w:val="22"/>
          <w:szCs w:val="22"/>
        </w:rPr>
      </w:pPr>
      <w:r>
        <w:rPr>
          <w:rFonts w:ascii="Bookman Old Style" w:hAnsi="Bookman Old Style" w:cs="Arial"/>
          <w:sz w:val="22"/>
          <w:szCs w:val="22"/>
        </w:rPr>
        <w:t>CONSIDERATO che</w:t>
      </w:r>
      <w:r>
        <w:rPr>
          <w:rFonts w:ascii="Bookman Old Style" w:hAnsi="Bookman Old Style"/>
          <w:sz w:val="22"/>
          <w:szCs w:val="22"/>
        </w:rPr>
        <w:t xml:space="preserve"> il predetto decreto ministeriale ha individuato una </w:t>
      </w:r>
      <w:r>
        <w:rPr>
          <w:rFonts w:ascii="Bookman Old Style" w:hAnsi="Bookman Old Style"/>
          <w:i/>
          <w:sz w:val="22"/>
          <w:szCs w:val="22"/>
        </w:rPr>
        <w:t>pluralità di schemi di disciplinare di gara, per ciascuna tipologia di struttura di accoglienza che si intend</w:t>
      </w:r>
      <w:r w:rsidR="000C1EE4">
        <w:rPr>
          <w:rFonts w:ascii="Bookman Old Style" w:hAnsi="Bookman Old Style"/>
          <w:i/>
          <w:sz w:val="22"/>
          <w:szCs w:val="22"/>
        </w:rPr>
        <w:t>e</w:t>
      </w:r>
      <w:r>
        <w:rPr>
          <w:rFonts w:ascii="Bookman Old Style" w:hAnsi="Bookman Old Style"/>
          <w:i/>
          <w:sz w:val="22"/>
          <w:szCs w:val="22"/>
        </w:rPr>
        <w:t xml:space="preserve"> attivare sul territorio, </w:t>
      </w:r>
      <w:r>
        <w:rPr>
          <w:rFonts w:ascii="Bookman Old Style" w:hAnsi="Bookman Old Style"/>
          <w:sz w:val="22"/>
          <w:szCs w:val="22"/>
        </w:rPr>
        <w:t>anche in considerazione della dimensione e delle funzioni dei centri stessi;</w:t>
      </w:r>
    </w:p>
    <w:p w14:paraId="6D4468AD" w14:textId="77777777" w:rsidR="00634115" w:rsidRDefault="00634115" w:rsidP="00634115">
      <w:pPr>
        <w:ind w:left="709"/>
        <w:jc w:val="both"/>
        <w:rPr>
          <w:rFonts w:ascii="Bookman Old Style" w:hAnsi="Bookman Old Style" w:cs="Arial"/>
          <w:sz w:val="22"/>
          <w:szCs w:val="22"/>
        </w:rPr>
      </w:pPr>
      <w:r>
        <w:rPr>
          <w:rFonts w:ascii="Bookman Old Style" w:hAnsi="Bookman Old Style" w:cs="Arial"/>
          <w:sz w:val="22"/>
          <w:szCs w:val="22"/>
        </w:rPr>
        <w:t xml:space="preserve">  </w:t>
      </w:r>
    </w:p>
    <w:p w14:paraId="7470AC5B" w14:textId="77777777" w:rsidR="00634115" w:rsidRDefault="00634115" w:rsidP="00634115">
      <w:pPr>
        <w:pStyle w:val="Intestazione"/>
        <w:tabs>
          <w:tab w:val="left" w:pos="708"/>
        </w:tabs>
        <w:jc w:val="both"/>
        <w:rPr>
          <w:rFonts w:ascii="Bookman Old Style" w:hAnsi="Bookman Old Style"/>
          <w:sz w:val="22"/>
          <w:szCs w:val="22"/>
        </w:rPr>
      </w:pPr>
      <w:r>
        <w:rPr>
          <w:rFonts w:ascii="Bookman Old Style" w:hAnsi="Bookman Old Style"/>
          <w:sz w:val="22"/>
          <w:szCs w:val="22"/>
        </w:rPr>
        <w:lastRenderedPageBreak/>
        <w:tab/>
        <w:t xml:space="preserve">ATTESO che, alla data odierna, sono ospitati </w:t>
      </w:r>
      <w:r w:rsidR="008B7288" w:rsidRPr="00635FB6">
        <w:rPr>
          <w:rFonts w:ascii="Bookman Old Style" w:hAnsi="Bookman Old Style"/>
          <w:b/>
          <w:sz w:val="22"/>
          <w:szCs w:val="22"/>
        </w:rPr>
        <w:t>9</w:t>
      </w:r>
      <w:r w:rsidR="000C1EE4">
        <w:rPr>
          <w:rFonts w:ascii="Bookman Old Style" w:hAnsi="Bookman Old Style"/>
          <w:b/>
          <w:sz w:val="22"/>
          <w:szCs w:val="22"/>
        </w:rPr>
        <w:t>4</w:t>
      </w:r>
      <w:r>
        <w:rPr>
          <w:rFonts w:ascii="Bookman Old Style" w:hAnsi="Bookman Old Style"/>
          <w:sz w:val="22"/>
          <w:szCs w:val="22"/>
        </w:rPr>
        <w:t xml:space="preserve"> cittadini extracomunitari richiedenti protezione internazionale, nelle strutture di accoglienza ubicate nel territorio provinciale;</w:t>
      </w:r>
    </w:p>
    <w:p w14:paraId="21911479" w14:textId="77777777" w:rsidR="009539CE" w:rsidRDefault="009539CE" w:rsidP="00634115">
      <w:pPr>
        <w:pStyle w:val="Intestazione"/>
        <w:tabs>
          <w:tab w:val="left" w:pos="708"/>
        </w:tabs>
        <w:jc w:val="both"/>
        <w:rPr>
          <w:rFonts w:ascii="Bookman Old Style" w:hAnsi="Bookman Old Style"/>
          <w:sz w:val="22"/>
          <w:szCs w:val="22"/>
        </w:rPr>
      </w:pPr>
    </w:p>
    <w:p w14:paraId="55CB31B5" w14:textId="77777777" w:rsidR="00634115" w:rsidRDefault="003B35C6" w:rsidP="00634115">
      <w:pPr>
        <w:pStyle w:val="Intestazione"/>
        <w:tabs>
          <w:tab w:val="left" w:pos="708"/>
        </w:tabs>
        <w:jc w:val="both"/>
        <w:rPr>
          <w:rFonts w:ascii="Bookman Old Style" w:hAnsi="Bookman Old Style"/>
          <w:sz w:val="22"/>
          <w:szCs w:val="22"/>
        </w:rPr>
      </w:pPr>
      <w:r>
        <w:rPr>
          <w:rFonts w:ascii="Bookman Old Style" w:hAnsi="Bookman Old Style"/>
          <w:sz w:val="22"/>
          <w:szCs w:val="22"/>
        </w:rPr>
        <w:tab/>
      </w:r>
    </w:p>
    <w:p w14:paraId="6F3EDF18" w14:textId="77777777" w:rsidR="00634115" w:rsidRPr="00AB7830" w:rsidRDefault="00F41C97" w:rsidP="00634115">
      <w:pPr>
        <w:pStyle w:val="Intestazione"/>
        <w:tabs>
          <w:tab w:val="left" w:pos="708"/>
        </w:tabs>
        <w:ind w:firstLine="709"/>
        <w:jc w:val="both"/>
        <w:rPr>
          <w:rFonts w:ascii="Bookman Old Style" w:hAnsi="Bookman Old Style"/>
          <w:color w:val="FF0000"/>
          <w:sz w:val="22"/>
          <w:szCs w:val="22"/>
        </w:rPr>
      </w:pPr>
      <w:r>
        <w:rPr>
          <w:rFonts w:ascii="Bookman Old Style" w:hAnsi="Bookman Old Style"/>
          <w:sz w:val="22"/>
          <w:szCs w:val="22"/>
        </w:rPr>
        <w:t xml:space="preserve">CONSIDERATO l’orientamento del </w:t>
      </w:r>
      <w:r w:rsidR="00634115">
        <w:rPr>
          <w:rFonts w:ascii="Bookman Old Style" w:hAnsi="Bookman Old Style"/>
          <w:sz w:val="22"/>
          <w:szCs w:val="22"/>
        </w:rPr>
        <w:t>Ministero dell’Interno</w:t>
      </w:r>
      <w:r>
        <w:rPr>
          <w:rFonts w:ascii="Bookman Old Style" w:hAnsi="Bookman Old Style"/>
          <w:sz w:val="22"/>
          <w:szCs w:val="22"/>
        </w:rPr>
        <w:t xml:space="preserve"> in merito alla necessità </w:t>
      </w:r>
      <w:r w:rsidR="00634115">
        <w:rPr>
          <w:rFonts w:ascii="Bookman Old Style" w:hAnsi="Bookman Old Style"/>
          <w:sz w:val="22"/>
          <w:szCs w:val="22"/>
        </w:rPr>
        <w:t>i indire gare distinte per ognuna delle tipologie di centri di accoglienza di cui si intende avvalersi;</w:t>
      </w:r>
    </w:p>
    <w:p w14:paraId="5A017C9A" w14:textId="77777777" w:rsidR="004A62D4" w:rsidRDefault="004A62D4" w:rsidP="00634115">
      <w:pPr>
        <w:pStyle w:val="Intestazione"/>
        <w:tabs>
          <w:tab w:val="left" w:pos="708"/>
        </w:tabs>
        <w:ind w:firstLine="709"/>
        <w:jc w:val="both"/>
        <w:rPr>
          <w:rFonts w:ascii="Bookman Old Style" w:hAnsi="Bookman Old Style"/>
          <w:sz w:val="22"/>
          <w:szCs w:val="22"/>
        </w:rPr>
      </w:pPr>
    </w:p>
    <w:p w14:paraId="0615F48B" w14:textId="77777777" w:rsidR="008978AC" w:rsidRDefault="00427B2C" w:rsidP="00634115">
      <w:pPr>
        <w:pStyle w:val="Intestazione"/>
        <w:tabs>
          <w:tab w:val="left" w:pos="708"/>
        </w:tabs>
        <w:jc w:val="both"/>
        <w:rPr>
          <w:rFonts w:ascii="Bookman Old Style" w:hAnsi="Bookman Old Style"/>
          <w:sz w:val="22"/>
          <w:szCs w:val="22"/>
        </w:rPr>
      </w:pPr>
      <w:r>
        <w:rPr>
          <w:rFonts w:ascii="Bookman Old Style" w:hAnsi="Bookman Old Style"/>
          <w:sz w:val="22"/>
          <w:szCs w:val="22"/>
        </w:rPr>
        <w:tab/>
        <w:t xml:space="preserve">VISTA la </w:t>
      </w:r>
      <w:r w:rsidR="003622DC">
        <w:rPr>
          <w:rFonts w:ascii="Bookman Old Style" w:hAnsi="Bookman Old Style"/>
          <w:sz w:val="22"/>
          <w:szCs w:val="22"/>
        </w:rPr>
        <w:t>necessità di indire</w:t>
      </w:r>
      <w:r w:rsidR="008978AC">
        <w:rPr>
          <w:rFonts w:ascii="Bookman Old Style" w:hAnsi="Bookman Old Style"/>
          <w:sz w:val="22"/>
          <w:szCs w:val="22"/>
        </w:rPr>
        <w:t xml:space="preserve"> </w:t>
      </w:r>
      <w:r w:rsidR="004C5693">
        <w:rPr>
          <w:rFonts w:ascii="Bookman Old Style" w:hAnsi="Bookman Old Style"/>
          <w:sz w:val="22"/>
          <w:szCs w:val="22"/>
        </w:rPr>
        <w:t>due</w:t>
      </w:r>
      <w:r w:rsidR="008978AC">
        <w:rPr>
          <w:rFonts w:ascii="Bookman Old Style" w:hAnsi="Bookman Old Style"/>
          <w:sz w:val="22"/>
          <w:szCs w:val="22"/>
        </w:rPr>
        <w:t xml:space="preserve"> </w:t>
      </w:r>
      <w:r w:rsidR="001A796C">
        <w:rPr>
          <w:rFonts w:ascii="Bookman Old Style" w:hAnsi="Bookman Old Style"/>
          <w:sz w:val="22"/>
          <w:szCs w:val="22"/>
        </w:rPr>
        <w:t>procedur</w:t>
      </w:r>
      <w:r w:rsidR="008978AC">
        <w:rPr>
          <w:rFonts w:ascii="Bookman Old Style" w:hAnsi="Bookman Old Style"/>
          <w:sz w:val="22"/>
          <w:szCs w:val="22"/>
        </w:rPr>
        <w:t xml:space="preserve">e </w:t>
      </w:r>
      <w:r w:rsidR="001A796C">
        <w:rPr>
          <w:rFonts w:ascii="Bookman Old Style" w:hAnsi="Bookman Old Style"/>
          <w:sz w:val="22"/>
          <w:szCs w:val="22"/>
        </w:rPr>
        <w:t>di gar</w:t>
      </w:r>
      <w:r w:rsidR="003F4A4E">
        <w:rPr>
          <w:rFonts w:ascii="Bookman Old Style" w:hAnsi="Bookman Old Style"/>
          <w:sz w:val="22"/>
          <w:szCs w:val="22"/>
        </w:rPr>
        <w:t>e</w:t>
      </w:r>
      <w:r w:rsidR="001A796C">
        <w:rPr>
          <w:rFonts w:ascii="Bookman Old Style" w:hAnsi="Bookman Old Style"/>
          <w:sz w:val="22"/>
          <w:szCs w:val="22"/>
        </w:rPr>
        <w:t xml:space="preserve"> europe</w:t>
      </w:r>
      <w:r w:rsidR="008978AC">
        <w:rPr>
          <w:rFonts w:ascii="Bookman Old Style" w:hAnsi="Bookman Old Style"/>
          <w:sz w:val="22"/>
          <w:szCs w:val="22"/>
        </w:rPr>
        <w:t>e</w:t>
      </w:r>
      <w:r w:rsidR="001A796C">
        <w:rPr>
          <w:rFonts w:ascii="Bookman Old Style" w:hAnsi="Bookman Old Style"/>
          <w:sz w:val="22"/>
          <w:szCs w:val="22"/>
        </w:rPr>
        <w:t xml:space="preserve"> apert</w:t>
      </w:r>
      <w:r w:rsidR="003F4A4E">
        <w:rPr>
          <w:rFonts w:ascii="Bookman Old Style" w:hAnsi="Bookman Old Style"/>
          <w:sz w:val="22"/>
          <w:szCs w:val="22"/>
        </w:rPr>
        <w:t>e</w:t>
      </w:r>
      <w:r w:rsidR="001A796C">
        <w:rPr>
          <w:rFonts w:ascii="Bookman Old Style" w:hAnsi="Bookman Old Style"/>
          <w:sz w:val="22"/>
          <w:szCs w:val="22"/>
        </w:rPr>
        <w:t>,</w:t>
      </w:r>
      <w:r w:rsidR="008978AC">
        <w:rPr>
          <w:rFonts w:ascii="Bookman Old Style" w:hAnsi="Bookman Old Style"/>
          <w:sz w:val="22"/>
          <w:szCs w:val="22"/>
        </w:rPr>
        <w:t xml:space="preserve"> </w:t>
      </w:r>
      <w:r w:rsidR="001A796C">
        <w:rPr>
          <w:rFonts w:ascii="Bookman Old Style" w:hAnsi="Bookman Old Style"/>
          <w:sz w:val="22"/>
          <w:szCs w:val="22"/>
        </w:rPr>
        <w:t>per l’accoglienza di</w:t>
      </w:r>
      <w:r w:rsidR="008978AC">
        <w:rPr>
          <w:rFonts w:ascii="Bookman Old Style" w:hAnsi="Bookman Old Style"/>
          <w:sz w:val="22"/>
          <w:szCs w:val="22"/>
        </w:rPr>
        <w:t xml:space="preserve"> </w:t>
      </w:r>
      <w:r w:rsidR="004C5693">
        <w:rPr>
          <w:rFonts w:ascii="Bookman Old Style" w:hAnsi="Bookman Old Style"/>
          <w:sz w:val="22"/>
          <w:szCs w:val="22"/>
        </w:rPr>
        <w:t>300</w:t>
      </w:r>
      <w:r w:rsidR="001A796C">
        <w:rPr>
          <w:rFonts w:ascii="Bookman Old Style" w:hAnsi="Bookman Old Style"/>
          <w:sz w:val="22"/>
          <w:szCs w:val="22"/>
        </w:rPr>
        <w:t xml:space="preserve"> profughi</w:t>
      </w:r>
      <w:r w:rsidR="008978AC">
        <w:rPr>
          <w:rFonts w:ascii="Bookman Old Style" w:hAnsi="Bookman Old Style"/>
          <w:sz w:val="22"/>
          <w:szCs w:val="22"/>
        </w:rPr>
        <w:t>, di cui:</w:t>
      </w:r>
    </w:p>
    <w:p w14:paraId="13532EBF" w14:textId="77777777" w:rsidR="00635FB6" w:rsidRDefault="00635FB6" w:rsidP="00634115">
      <w:pPr>
        <w:pStyle w:val="Intestazione"/>
        <w:tabs>
          <w:tab w:val="left" w:pos="708"/>
        </w:tabs>
        <w:jc w:val="both"/>
        <w:rPr>
          <w:rFonts w:ascii="Bookman Old Style" w:hAnsi="Bookman Old Style"/>
          <w:sz w:val="22"/>
          <w:szCs w:val="22"/>
        </w:rPr>
      </w:pPr>
    </w:p>
    <w:p w14:paraId="79351C57" w14:textId="77777777" w:rsidR="00635FB6" w:rsidRPr="00635FB6" w:rsidRDefault="00EC0014" w:rsidP="008978AC">
      <w:pPr>
        <w:pStyle w:val="Intestazione"/>
        <w:numPr>
          <w:ilvl w:val="0"/>
          <w:numId w:val="4"/>
        </w:numPr>
        <w:tabs>
          <w:tab w:val="left" w:pos="708"/>
        </w:tabs>
        <w:jc w:val="both"/>
        <w:rPr>
          <w:rFonts w:ascii="Bookman Old Style" w:hAnsi="Bookman Old Style"/>
          <w:sz w:val="22"/>
          <w:szCs w:val="22"/>
        </w:rPr>
      </w:pPr>
      <w:r>
        <w:rPr>
          <w:rFonts w:ascii="Bookman Old Style" w:hAnsi="Bookman Old Style"/>
          <w:sz w:val="22"/>
          <w:szCs w:val="22"/>
        </w:rPr>
        <w:t>200</w:t>
      </w:r>
      <w:r w:rsidR="008978AC" w:rsidRPr="00635FB6">
        <w:rPr>
          <w:rFonts w:ascii="Bookman Old Style" w:hAnsi="Bookman Old Style"/>
          <w:sz w:val="22"/>
          <w:szCs w:val="22"/>
        </w:rPr>
        <w:t xml:space="preserve"> </w:t>
      </w:r>
      <w:r w:rsidR="001A796C" w:rsidRPr="00635FB6">
        <w:rPr>
          <w:rFonts w:ascii="Bookman Old Style" w:hAnsi="Bookman Old Style"/>
          <w:sz w:val="22"/>
          <w:szCs w:val="22"/>
        </w:rPr>
        <w:t>in Singole unità abitative</w:t>
      </w:r>
      <w:r w:rsidR="00A636A4" w:rsidRPr="00635FB6">
        <w:rPr>
          <w:rFonts w:ascii="Bookman Old Style" w:hAnsi="Bookman Old Style"/>
          <w:sz w:val="22"/>
          <w:szCs w:val="22"/>
        </w:rPr>
        <w:t xml:space="preserve"> con capacità ricettiva fino a un massimo di </w:t>
      </w:r>
      <w:r w:rsidR="001A796C" w:rsidRPr="00635FB6">
        <w:rPr>
          <w:rFonts w:ascii="Bookman Old Style" w:hAnsi="Bookman Old Style"/>
          <w:sz w:val="22"/>
          <w:szCs w:val="22"/>
        </w:rPr>
        <w:t>50 posti</w:t>
      </w:r>
      <w:r w:rsidR="008978AC" w:rsidRPr="00635FB6">
        <w:rPr>
          <w:rFonts w:ascii="Bookman Old Style" w:hAnsi="Bookman Old Style"/>
          <w:sz w:val="22"/>
          <w:szCs w:val="22"/>
        </w:rPr>
        <w:t xml:space="preserve"> al prezzo pro-capite a base gara di €</w:t>
      </w:r>
      <w:r w:rsidR="003622DC" w:rsidRPr="00635FB6">
        <w:rPr>
          <w:rFonts w:ascii="Bookman Old Style" w:hAnsi="Bookman Old Style"/>
          <w:sz w:val="22"/>
          <w:szCs w:val="22"/>
        </w:rPr>
        <w:t xml:space="preserve"> </w:t>
      </w:r>
      <w:r w:rsidR="008978AC" w:rsidRPr="00635FB6">
        <w:rPr>
          <w:rFonts w:ascii="Bookman Old Style" w:hAnsi="Bookman Old Style"/>
          <w:sz w:val="22"/>
          <w:szCs w:val="22"/>
        </w:rPr>
        <w:t>2</w:t>
      </w:r>
      <w:r w:rsidR="003622DC" w:rsidRPr="00635FB6">
        <w:rPr>
          <w:rFonts w:ascii="Bookman Old Style" w:hAnsi="Bookman Old Style"/>
          <w:sz w:val="22"/>
          <w:szCs w:val="22"/>
        </w:rPr>
        <w:t>8</w:t>
      </w:r>
      <w:r w:rsidR="008978AC" w:rsidRPr="00635FB6">
        <w:rPr>
          <w:rFonts w:ascii="Bookman Old Style" w:hAnsi="Bookman Old Style"/>
          <w:sz w:val="22"/>
          <w:szCs w:val="22"/>
        </w:rPr>
        <w:t>,</w:t>
      </w:r>
      <w:r w:rsidR="003622DC" w:rsidRPr="00635FB6">
        <w:rPr>
          <w:rFonts w:ascii="Bookman Old Style" w:hAnsi="Bookman Old Style"/>
          <w:sz w:val="22"/>
          <w:szCs w:val="22"/>
        </w:rPr>
        <w:t>74</w:t>
      </w:r>
      <w:r w:rsidR="00A636A4" w:rsidRPr="00635FB6">
        <w:rPr>
          <w:rFonts w:ascii="Bookman Old Style" w:hAnsi="Bookman Old Style"/>
          <w:sz w:val="22"/>
          <w:szCs w:val="22"/>
        </w:rPr>
        <w:t>;</w:t>
      </w:r>
    </w:p>
    <w:p w14:paraId="058D3656" w14:textId="77777777" w:rsidR="00A636A4" w:rsidRDefault="00A636A4" w:rsidP="00A636A4">
      <w:pPr>
        <w:pStyle w:val="Intestazione"/>
        <w:numPr>
          <w:ilvl w:val="0"/>
          <w:numId w:val="4"/>
        </w:numPr>
        <w:tabs>
          <w:tab w:val="left" w:pos="708"/>
        </w:tabs>
        <w:jc w:val="both"/>
        <w:rPr>
          <w:rFonts w:ascii="Bookman Old Style" w:hAnsi="Bookman Old Style"/>
          <w:sz w:val="22"/>
          <w:szCs w:val="22"/>
        </w:rPr>
      </w:pPr>
      <w:r>
        <w:rPr>
          <w:rFonts w:ascii="Bookman Old Style" w:hAnsi="Bookman Old Style"/>
          <w:sz w:val="22"/>
          <w:szCs w:val="22"/>
        </w:rPr>
        <w:t>1</w:t>
      </w:r>
      <w:r w:rsidR="009C62CB">
        <w:rPr>
          <w:rFonts w:ascii="Bookman Old Style" w:hAnsi="Bookman Old Style"/>
          <w:sz w:val="22"/>
          <w:szCs w:val="22"/>
        </w:rPr>
        <w:t>0</w:t>
      </w:r>
      <w:r>
        <w:rPr>
          <w:rFonts w:ascii="Bookman Old Style" w:hAnsi="Bookman Old Style"/>
          <w:sz w:val="22"/>
          <w:szCs w:val="22"/>
        </w:rPr>
        <w:t>0 in centri collettivi con capacità ricettiva fino a un massimo di 50 posti al prezzo pro-capite a base gara di €</w:t>
      </w:r>
      <w:r w:rsidR="003622DC">
        <w:rPr>
          <w:rFonts w:ascii="Bookman Old Style" w:hAnsi="Bookman Old Style"/>
          <w:sz w:val="22"/>
          <w:szCs w:val="22"/>
        </w:rPr>
        <w:t xml:space="preserve"> 33</w:t>
      </w:r>
      <w:r>
        <w:rPr>
          <w:rFonts w:ascii="Bookman Old Style" w:hAnsi="Bookman Old Style"/>
          <w:sz w:val="22"/>
          <w:szCs w:val="22"/>
        </w:rPr>
        <w:t>,</w:t>
      </w:r>
      <w:r w:rsidR="003622DC">
        <w:rPr>
          <w:rFonts w:ascii="Bookman Old Style" w:hAnsi="Bookman Old Style"/>
          <w:sz w:val="22"/>
          <w:szCs w:val="22"/>
        </w:rPr>
        <w:t>47</w:t>
      </w:r>
      <w:r>
        <w:rPr>
          <w:rFonts w:ascii="Bookman Old Style" w:hAnsi="Bookman Old Style"/>
          <w:sz w:val="22"/>
          <w:szCs w:val="22"/>
        </w:rPr>
        <w:t>;</w:t>
      </w:r>
    </w:p>
    <w:p w14:paraId="156A371E" w14:textId="77777777" w:rsidR="00722987" w:rsidRDefault="00722987" w:rsidP="00722987">
      <w:pPr>
        <w:pStyle w:val="Intestazione"/>
        <w:tabs>
          <w:tab w:val="left" w:pos="708"/>
        </w:tabs>
        <w:jc w:val="both"/>
        <w:rPr>
          <w:rFonts w:ascii="Bookman Old Style" w:hAnsi="Bookman Old Style"/>
          <w:sz w:val="22"/>
          <w:szCs w:val="22"/>
        </w:rPr>
      </w:pPr>
    </w:p>
    <w:p w14:paraId="26D14461" w14:textId="77777777" w:rsidR="00634115" w:rsidRDefault="00634115" w:rsidP="00634115">
      <w:pPr>
        <w:pStyle w:val="Intestazione"/>
        <w:jc w:val="center"/>
        <w:rPr>
          <w:rFonts w:ascii="Bookman Old Style" w:hAnsi="Bookman Old Style"/>
          <w:sz w:val="22"/>
          <w:szCs w:val="22"/>
        </w:rPr>
      </w:pPr>
      <w:r>
        <w:rPr>
          <w:rFonts w:ascii="Bookman Old Style" w:hAnsi="Bookman Old Style"/>
          <w:sz w:val="22"/>
          <w:szCs w:val="22"/>
        </w:rPr>
        <w:t xml:space="preserve">D E T E R M I N A </w:t>
      </w:r>
    </w:p>
    <w:p w14:paraId="453905D8" w14:textId="77777777" w:rsidR="003F4A4E" w:rsidRDefault="003F4A4E" w:rsidP="00634115">
      <w:pPr>
        <w:pStyle w:val="Intestazione"/>
        <w:jc w:val="center"/>
        <w:rPr>
          <w:rFonts w:ascii="Bookman Old Style" w:hAnsi="Bookman Old Style"/>
          <w:sz w:val="22"/>
          <w:szCs w:val="22"/>
        </w:rPr>
      </w:pPr>
    </w:p>
    <w:p w14:paraId="37A209AF" w14:textId="77777777" w:rsidR="00634115" w:rsidRDefault="003F4A4E" w:rsidP="00634115">
      <w:pPr>
        <w:pStyle w:val="Corpotesto"/>
        <w:tabs>
          <w:tab w:val="left" w:pos="284"/>
        </w:tabs>
        <w:spacing w:after="120"/>
        <w:rPr>
          <w:rFonts w:ascii="Bookman Old Style" w:hAnsi="Bookman Old Style" w:cs="Arial"/>
          <w:sz w:val="22"/>
          <w:szCs w:val="22"/>
        </w:rPr>
      </w:pPr>
      <w:r>
        <w:rPr>
          <w:rFonts w:ascii="Bookman Old Style" w:hAnsi="Bookman Old Style" w:cs="Arial"/>
          <w:sz w:val="22"/>
          <w:szCs w:val="22"/>
        </w:rPr>
        <w:t>P</w:t>
      </w:r>
      <w:r w:rsidR="00634115">
        <w:rPr>
          <w:rFonts w:ascii="Bookman Old Style" w:hAnsi="Bookman Old Style" w:cs="Arial"/>
          <w:sz w:val="22"/>
          <w:szCs w:val="22"/>
        </w:rPr>
        <w:t xml:space="preserve">er le motivazioni indicate in premessa, di indire </w:t>
      </w:r>
      <w:r w:rsidR="004C5693">
        <w:rPr>
          <w:rFonts w:ascii="Bookman Old Style" w:hAnsi="Bookman Old Style" w:cs="Arial"/>
          <w:sz w:val="22"/>
          <w:szCs w:val="22"/>
        </w:rPr>
        <w:t>due</w:t>
      </w:r>
      <w:r w:rsidR="00634115">
        <w:rPr>
          <w:rFonts w:ascii="Bookman Old Style" w:hAnsi="Bookman Old Style" w:cs="Arial"/>
          <w:sz w:val="22"/>
          <w:szCs w:val="22"/>
        </w:rPr>
        <w:t xml:space="preserve"> distinte procedure di gara aperta, ai sensi dell’art. 59 del decreto legislativo 18 aprile 2016, n. 50, per la conclusione di:</w:t>
      </w:r>
    </w:p>
    <w:p w14:paraId="5E5A4CB9" w14:textId="77777777" w:rsidR="00634115" w:rsidRDefault="00634115" w:rsidP="00634115">
      <w:pPr>
        <w:pStyle w:val="Paragrafoelenco"/>
        <w:numPr>
          <w:ilvl w:val="0"/>
          <w:numId w:val="2"/>
        </w:numPr>
        <w:jc w:val="both"/>
        <w:rPr>
          <w:rFonts w:ascii="Bookman Old Style" w:hAnsi="Bookman Old Style" w:cs="Arial"/>
        </w:rPr>
      </w:pPr>
      <w:r>
        <w:rPr>
          <w:rFonts w:ascii="Bookman Old Style" w:hAnsi="Bookman Old Style" w:cs="Arial"/>
        </w:rPr>
        <w:t>un Accordo Quadro per l’affidamento dei servizi di gestione dei centri di accoglienza di cittadini extracomunitari richiedenti protezione internazionale, individuate dai concorrenti, costituite da singole unità abitative con capacità ricettiva fino ad un massimo di 50 posti complessivi che consentono l’autonoma gestione dei servizi di preparazione dei pasti, di lavanderia e di pulizia e igiene ambientale, da parte dei migranti e la possibilità dell’erogazione dei rimanenti servizi  in modalità di rete.</w:t>
      </w:r>
    </w:p>
    <w:p w14:paraId="493E405B" w14:textId="77777777" w:rsidR="00634115" w:rsidRDefault="00634115" w:rsidP="00634115">
      <w:pPr>
        <w:pStyle w:val="Paragrafoelenco"/>
        <w:jc w:val="both"/>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s="Arial"/>
        </w:rPr>
        <w:t xml:space="preserve">Le strutture di accoglienza, messe a disposizione dai partecipanti alla gara, devono essere ubicate nel territorio della provincia di </w:t>
      </w:r>
      <w:r w:rsidR="004A62D4">
        <w:rPr>
          <w:rFonts w:ascii="Bookman Old Style" w:hAnsi="Bookman Old Style" w:cs="Arial"/>
        </w:rPr>
        <w:t>Ascoli Piceno</w:t>
      </w:r>
      <w:r>
        <w:rPr>
          <w:rFonts w:ascii="Bookman Old Style" w:hAnsi="Bookman Old Style" w:cs="Arial"/>
        </w:rPr>
        <w:t xml:space="preserve">, per un </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fabbisogno teorico di nr. </w:t>
      </w:r>
      <w:r w:rsidR="00EC0014">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posti di accoglienza.</w:t>
      </w:r>
    </w:p>
    <w:p w14:paraId="7437B327" w14:textId="77777777" w:rsidR="009025BE" w:rsidRDefault="00634115" w:rsidP="00634115">
      <w:pPr>
        <w:pStyle w:val="Paragrafoelenco"/>
        <w:jc w:val="both"/>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valore presunto</w:t>
      </w:r>
      <w:r w:rsidR="009025BE">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base al fabbisogno teorico di n. 200 posti</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025BE">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viene stimato in </w:t>
      </w:r>
      <w:r w:rsidR="00886C8A">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E65714">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65714">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196.220</w:t>
      </w:r>
      <w:r w:rsidR="00D316B9">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65714">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sidR="00D316B9">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dato dalla somma di cui ai punti 1,2,3,</w:t>
      </w:r>
      <w:r w:rsid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E0E60B" w14:textId="77777777" w:rsidR="009025BE" w:rsidRPr="009025BE" w:rsidRDefault="009025BE" w:rsidP="009025BE">
      <w:pPr>
        <w:pStyle w:val="Paragrafoelenco"/>
        <w:numPr>
          <w:ilvl w:val="0"/>
          <w:numId w:val="5"/>
        </w:numPr>
        <w:jc w:val="both"/>
        <w:rPr>
          <w:rFonts w:ascii="Bookman Old Style" w:eastAsia="Calibri" w:hAnsi="Bookman Old Styl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€ 24,</w:t>
      </w:r>
      <w:r w:rsidR="005F691C">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 capite- pro die per il servizio di gestione di centri di accoglienza messi a disposizione del concorrente;</w:t>
      </w:r>
    </w:p>
    <w:p w14:paraId="29E5E5AD" w14:textId="77777777" w:rsidR="009025BE" w:rsidRPr="009025BE" w:rsidRDefault="009025BE" w:rsidP="009025BE">
      <w:pPr>
        <w:pStyle w:val="Paragrafoelenco"/>
        <w:numPr>
          <w:ilvl w:val="0"/>
          <w:numId w:val="5"/>
        </w:numPr>
        <w:jc w:val="both"/>
        <w:rPr>
          <w:rFonts w:ascii="Bookman Old Style" w:eastAsia="Calibri" w:hAnsi="Bookman Old Styl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5714">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w:t>
      </w:r>
      <w:r w:rsidR="0064258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59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 capite  </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la fornitura del kit</w:t>
      </w:r>
      <w:r w:rsidR="00FC4B96">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un turn over stimato nel corso dei due anni pari a quattro;</w:t>
      </w:r>
    </w:p>
    <w:p w14:paraId="73A8E1BB" w14:textId="77777777" w:rsidR="005F691C" w:rsidRPr="005F691C" w:rsidRDefault="009025BE" w:rsidP="009025BE">
      <w:pPr>
        <w:pStyle w:val="Paragrafoelenco"/>
        <w:numPr>
          <w:ilvl w:val="0"/>
          <w:numId w:val="5"/>
        </w:numPr>
        <w:jc w:val="both"/>
        <w:rPr>
          <w:rFonts w:ascii="Bookman Old Style" w:eastAsia="Calibri" w:hAnsi="Bookman Old Styl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€ 2,50</w:t>
      </w:r>
      <w:r w:rsidR="000848C1">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 capite- prodie</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non soggetti a ribasso, per la fornitura del pocket money e </w:t>
      </w:r>
      <w:r w:rsidR="00886C8A">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59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tessera telefonica</w:t>
      </w:r>
      <w:r w:rsidR="00C8659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€ 5,00</w:t>
      </w:r>
      <w:r w:rsidR="005F691C">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34115">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 un turn over stimato nel corso dei due anni pari a 4</w:t>
      </w:r>
      <w:r w:rsidR="005F691C">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0E8B281" w14:textId="77777777" w:rsidR="00634115" w:rsidRDefault="00634115" w:rsidP="00634115">
      <w:pPr>
        <w:pStyle w:val="Paragrafoelenco"/>
        <w:jc w:val="both"/>
        <w:rPr>
          <w:rFonts w:ascii="Bookman Old Style" w:eastAsia="Calibri" w:hAnsi="Bookman Old Style"/>
          <w:b/>
        </w:rPr>
      </w:pPr>
      <w:r>
        <w:rPr>
          <w:rFonts w:ascii="Bookman Old Style" w:eastAsia="Calibri" w:hAnsi="Bookman Old Style"/>
        </w:rPr>
        <w:t xml:space="preserve">Il prezzo pro-capite/pro-die posto a base di gara è stabilito in € </w:t>
      </w:r>
      <w:r w:rsidR="00D4529C" w:rsidRPr="009E10DF">
        <w:rPr>
          <w:rFonts w:ascii="Bookman Old Style" w:eastAsia="Calibri" w:hAnsi="Bookman Old Style"/>
          <w:b/>
        </w:rPr>
        <w:t>2</w:t>
      </w:r>
      <w:r w:rsidR="00886C8A">
        <w:rPr>
          <w:rFonts w:ascii="Bookman Old Style" w:eastAsia="Calibri" w:hAnsi="Bookman Old Style"/>
          <w:b/>
        </w:rPr>
        <w:t>8,74</w:t>
      </w:r>
      <w:r w:rsidRPr="009E10DF">
        <w:rPr>
          <w:rFonts w:ascii="Bookman Old Style" w:eastAsia="Calibri" w:hAnsi="Bookman Old Style"/>
          <w:b/>
        </w:rPr>
        <w:t>.</w:t>
      </w:r>
    </w:p>
    <w:p w14:paraId="6A14C42B" w14:textId="77777777" w:rsidR="00A463A9" w:rsidRDefault="00BA392F" w:rsidP="00634115">
      <w:pPr>
        <w:pStyle w:val="Paragrafoelenco"/>
        <w:jc w:val="both"/>
        <w:rPr>
          <w:rFonts w:ascii="Bookman Old Style" w:eastAsia="Calibri" w:hAnsi="Bookman Old Style"/>
          <w:b/>
        </w:rPr>
      </w:pPr>
      <w:r>
        <w:rPr>
          <w:rFonts w:ascii="Bookman Old Style" w:eastAsia="Calibri" w:hAnsi="Bookman Old Style"/>
          <w:b/>
        </w:rPr>
        <w:lastRenderedPageBreak/>
        <w:t xml:space="preserve">Il valore complessivo  tenendo conto delle opzioni di cui all’art. 106 comma 1 lettera a ) ed e) </w:t>
      </w:r>
      <w:r w:rsidR="00642583">
        <w:rPr>
          <w:rFonts w:ascii="Bookman Old Style" w:eastAsia="Calibri" w:hAnsi="Bookman Old Style"/>
          <w:b/>
        </w:rPr>
        <w:t xml:space="preserve"> del d. lgs. 50/2016 </w:t>
      </w:r>
      <w:r>
        <w:rPr>
          <w:rFonts w:ascii="Bookman Old Style" w:eastAsia="Calibri" w:hAnsi="Bookman Old Style"/>
          <w:b/>
        </w:rPr>
        <w:t xml:space="preserve">è PARI AD €  </w:t>
      </w:r>
      <w:r w:rsidR="00E65714">
        <w:rPr>
          <w:rFonts w:ascii="Bookman Old Style" w:eastAsia="Calibri" w:hAnsi="Bookman Old Style"/>
          <w:b/>
        </w:rPr>
        <w:t>7.133.574,00</w:t>
      </w:r>
      <w:r w:rsidR="00A463A9">
        <w:rPr>
          <w:rFonts w:ascii="Bookman Old Style" w:eastAsia="Calibri" w:hAnsi="Bookman Old Style"/>
          <w:b/>
        </w:rPr>
        <w:t xml:space="preserve"> cosi determinato:</w:t>
      </w:r>
    </w:p>
    <w:p w14:paraId="39B6A680" w14:textId="77777777" w:rsidR="000C1EE4" w:rsidRDefault="000C1EE4" w:rsidP="00634115">
      <w:pPr>
        <w:pStyle w:val="Paragrafoelenco"/>
        <w:jc w:val="both"/>
        <w:rPr>
          <w:rFonts w:ascii="Bookman Old Style" w:eastAsia="Calibri" w:hAnsi="Bookman Old Style"/>
          <w:b/>
        </w:rPr>
      </w:pPr>
    </w:p>
    <w:p w14:paraId="2F1E4029" w14:textId="77777777" w:rsidR="00A463A9" w:rsidRDefault="00A463A9" w:rsidP="00634115">
      <w:pPr>
        <w:pStyle w:val="Paragrafoelenco"/>
        <w:jc w:val="both"/>
        <w:rPr>
          <w:rFonts w:ascii="Bookman Old Style" w:eastAsia="Calibri" w:hAnsi="Bookman Old Style"/>
          <w:b/>
        </w:rPr>
      </w:pPr>
    </w:p>
    <w:p w14:paraId="36903F8F" w14:textId="77777777" w:rsidR="000C1EE4" w:rsidRPr="009E10DF" w:rsidRDefault="000C1EE4" w:rsidP="00634115">
      <w:pPr>
        <w:pStyle w:val="Paragrafoelenco"/>
        <w:jc w:val="both"/>
        <w:rPr>
          <w:rFonts w:ascii="Bookman Old Style" w:eastAsia="Calibri" w:hAnsi="Bookman Old Style"/>
          <w:b/>
        </w:rPr>
      </w:pPr>
    </w:p>
    <w:tbl>
      <w:tblPr>
        <w:tblStyle w:val="Grigliatabella"/>
        <w:tblW w:w="0" w:type="auto"/>
        <w:tblInd w:w="720" w:type="dxa"/>
        <w:tblLook w:val="04A0" w:firstRow="1" w:lastRow="0" w:firstColumn="1" w:lastColumn="0" w:noHBand="0" w:noVBand="1"/>
      </w:tblPr>
      <w:tblGrid>
        <w:gridCol w:w="1383"/>
        <w:gridCol w:w="2981"/>
        <w:gridCol w:w="3161"/>
        <w:gridCol w:w="1383"/>
      </w:tblGrid>
      <w:tr w:rsidR="00A463A9" w14:paraId="4B24F906" w14:textId="77777777" w:rsidTr="00A463A9">
        <w:tc>
          <w:tcPr>
            <w:tcW w:w="0" w:type="auto"/>
          </w:tcPr>
          <w:p w14:paraId="56E3228C" w14:textId="77777777" w:rsidR="00A463A9" w:rsidRDefault="00A463A9" w:rsidP="00634115">
            <w:pPr>
              <w:pStyle w:val="Paragrafoelenco"/>
              <w:ind w:left="0"/>
              <w:jc w:val="both"/>
              <w:rPr>
                <w:rFonts w:ascii="Bookman Old Style" w:eastAsia="Calibri" w:hAnsi="Bookman Old Style"/>
                <w:b/>
              </w:rPr>
            </w:pPr>
            <w:r>
              <w:rPr>
                <w:rFonts w:ascii="Bookman Old Style" w:eastAsia="Calibri" w:hAnsi="Bookman Old Style"/>
                <w:b/>
              </w:rPr>
              <w:t>importo</w:t>
            </w:r>
          </w:p>
        </w:tc>
        <w:tc>
          <w:tcPr>
            <w:tcW w:w="0" w:type="auto"/>
          </w:tcPr>
          <w:p w14:paraId="62B12747" w14:textId="77777777" w:rsidR="00A463A9" w:rsidRPr="00642583" w:rsidRDefault="00A463A9" w:rsidP="00A463A9">
            <w:pPr>
              <w:pStyle w:val="Paragrafoelenco"/>
              <w:ind w:left="0"/>
              <w:jc w:val="both"/>
              <w:rPr>
                <w:rFonts w:ascii="Bookman Old Style" w:eastAsia="Calibri" w:hAnsi="Bookman Old Style"/>
                <w:b/>
                <w:lang w:val="en-US"/>
              </w:rPr>
            </w:pPr>
            <w:r w:rsidRPr="00642583">
              <w:rPr>
                <w:rFonts w:ascii="Bookman Old Style" w:eastAsia="Calibri" w:hAnsi="Bookman Old Style"/>
                <w:b/>
                <w:lang w:val="en-US"/>
              </w:rPr>
              <w:t>art.106</w:t>
            </w:r>
            <w:r w:rsidR="000C1EE4">
              <w:rPr>
                <w:rFonts w:ascii="Bookman Old Style" w:eastAsia="Calibri" w:hAnsi="Bookman Old Style"/>
                <w:b/>
                <w:lang w:val="en-US"/>
              </w:rPr>
              <w:t xml:space="preserve"> </w:t>
            </w:r>
            <w:r w:rsidRPr="00642583">
              <w:rPr>
                <w:rFonts w:ascii="Bookman Old Style" w:eastAsia="Calibri" w:hAnsi="Bookman Old Style"/>
                <w:b/>
                <w:lang w:val="en-US"/>
              </w:rPr>
              <w:t>comma 1 lett.a)- 50%</w:t>
            </w:r>
            <w:r w:rsidR="00642583" w:rsidRPr="00642583">
              <w:rPr>
                <w:rFonts w:ascii="Bookman Old Style" w:eastAsia="Calibri" w:hAnsi="Bookman Old Style"/>
                <w:b/>
                <w:lang w:val="en-US"/>
              </w:rPr>
              <w:t>- d.lgs. 50/2016</w:t>
            </w:r>
          </w:p>
        </w:tc>
        <w:tc>
          <w:tcPr>
            <w:tcW w:w="0" w:type="auto"/>
          </w:tcPr>
          <w:p w14:paraId="413CC781" w14:textId="77777777" w:rsidR="00A463A9" w:rsidRPr="00642583" w:rsidRDefault="00A463A9" w:rsidP="00642583">
            <w:pPr>
              <w:pStyle w:val="Paragrafoelenco"/>
              <w:ind w:left="0"/>
              <w:jc w:val="both"/>
              <w:rPr>
                <w:rFonts w:ascii="Bookman Old Style" w:eastAsia="Calibri" w:hAnsi="Bookman Old Style"/>
                <w:b/>
                <w:lang w:val="en-US"/>
              </w:rPr>
            </w:pPr>
            <w:r w:rsidRPr="00642583">
              <w:rPr>
                <w:rFonts w:ascii="Bookman Old Style" w:eastAsia="Calibri" w:hAnsi="Bookman Old Style"/>
                <w:b/>
                <w:lang w:val="en-US"/>
              </w:rPr>
              <w:t>art.106</w:t>
            </w:r>
            <w:r w:rsidR="00642583">
              <w:rPr>
                <w:rFonts w:ascii="Bookman Old Style" w:eastAsia="Calibri" w:hAnsi="Bookman Old Style"/>
                <w:b/>
                <w:lang w:val="en-US"/>
              </w:rPr>
              <w:t xml:space="preserve"> </w:t>
            </w:r>
            <w:r w:rsidRPr="00642583">
              <w:rPr>
                <w:rFonts w:ascii="Bookman Old Style" w:eastAsia="Calibri" w:hAnsi="Bookman Old Style"/>
                <w:b/>
                <w:lang w:val="en-US"/>
              </w:rPr>
              <w:t>comma 1 lett.e)-20%</w:t>
            </w:r>
            <w:r w:rsidR="00642583" w:rsidRPr="00642583">
              <w:rPr>
                <w:rFonts w:ascii="Bookman Old Style" w:eastAsia="Calibri" w:hAnsi="Bookman Old Style"/>
                <w:b/>
                <w:lang w:val="en-US"/>
              </w:rPr>
              <w:t>-d.lgs.50/2016</w:t>
            </w:r>
          </w:p>
        </w:tc>
        <w:tc>
          <w:tcPr>
            <w:tcW w:w="0" w:type="auto"/>
          </w:tcPr>
          <w:p w14:paraId="53BE6B3E" w14:textId="77777777" w:rsidR="00A463A9" w:rsidRDefault="00A463A9" w:rsidP="00634115">
            <w:pPr>
              <w:pStyle w:val="Paragrafoelenco"/>
              <w:ind w:left="0"/>
              <w:jc w:val="both"/>
              <w:rPr>
                <w:rFonts w:ascii="Bookman Old Style" w:eastAsia="Calibri" w:hAnsi="Bookman Old Style"/>
                <w:b/>
              </w:rPr>
            </w:pPr>
            <w:r>
              <w:rPr>
                <w:rFonts w:ascii="Bookman Old Style" w:eastAsia="Calibri" w:hAnsi="Bookman Old Style"/>
                <w:b/>
              </w:rPr>
              <w:t>totale</w:t>
            </w:r>
          </w:p>
        </w:tc>
      </w:tr>
      <w:tr w:rsidR="00A463A9" w14:paraId="7C2E4D03" w14:textId="77777777" w:rsidTr="00A463A9">
        <w:tc>
          <w:tcPr>
            <w:tcW w:w="0" w:type="auto"/>
          </w:tcPr>
          <w:p w14:paraId="64722A4D" w14:textId="77777777" w:rsidR="00A463A9" w:rsidRDefault="00A463A9" w:rsidP="00987372">
            <w:pPr>
              <w:pStyle w:val="Paragrafoelenco"/>
              <w:ind w:left="0"/>
              <w:jc w:val="center"/>
              <w:rPr>
                <w:rFonts w:ascii="Bookman Old Style" w:eastAsia="Calibri" w:hAnsi="Bookman Old Style"/>
                <w:b/>
              </w:rPr>
            </w:pPr>
            <w:r>
              <w:rPr>
                <w:rFonts w:ascii="Bookman Old Style" w:eastAsia="Calibri" w:hAnsi="Bookman Old Style"/>
                <w:b/>
              </w:rPr>
              <w:t>4.196.220</w:t>
            </w:r>
          </w:p>
        </w:tc>
        <w:tc>
          <w:tcPr>
            <w:tcW w:w="0" w:type="auto"/>
          </w:tcPr>
          <w:p w14:paraId="0ACDC4FC" w14:textId="77777777" w:rsidR="00A463A9" w:rsidRDefault="00A463A9" w:rsidP="00987372">
            <w:pPr>
              <w:pStyle w:val="Paragrafoelenco"/>
              <w:ind w:left="0"/>
              <w:jc w:val="center"/>
              <w:rPr>
                <w:rFonts w:ascii="Bookman Old Style" w:eastAsia="Calibri" w:hAnsi="Bookman Old Style"/>
                <w:b/>
              </w:rPr>
            </w:pPr>
            <w:r>
              <w:rPr>
                <w:rFonts w:ascii="Bookman Old Style" w:eastAsia="Calibri" w:hAnsi="Bookman Old Style"/>
                <w:b/>
              </w:rPr>
              <w:t>2.098.110</w:t>
            </w:r>
          </w:p>
        </w:tc>
        <w:tc>
          <w:tcPr>
            <w:tcW w:w="0" w:type="auto"/>
          </w:tcPr>
          <w:p w14:paraId="130AB870" w14:textId="77777777" w:rsidR="00A463A9" w:rsidRDefault="00A463A9" w:rsidP="00987372">
            <w:pPr>
              <w:pStyle w:val="Paragrafoelenco"/>
              <w:ind w:left="0"/>
              <w:jc w:val="center"/>
              <w:rPr>
                <w:rFonts w:ascii="Bookman Old Style" w:eastAsia="Calibri" w:hAnsi="Bookman Old Style"/>
                <w:b/>
              </w:rPr>
            </w:pPr>
            <w:r>
              <w:rPr>
                <w:rFonts w:ascii="Bookman Old Style" w:eastAsia="Calibri" w:hAnsi="Bookman Old Style"/>
                <w:b/>
              </w:rPr>
              <w:t>839.244</w:t>
            </w:r>
          </w:p>
        </w:tc>
        <w:tc>
          <w:tcPr>
            <w:tcW w:w="0" w:type="auto"/>
          </w:tcPr>
          <w:p w14:paraId="1D525FB4" w14:textId="77777777" w:rsidR="00A463A9" w:rsidRDefault="00A463A9" w:rsidP="00987372">
            <w:pPr>
              <w:pStyle w:val="Paragrafoelenco"/>
              <w:ind w:left="0"/>
              <w:jc w:val="center"/>
              <w:rPr>
                <w:rFonts w:ascii="Bookman Old Style" w:eastAsia="Calibri" w:hAnsi="Bookman Old Style"/>
                <w:b/>
              </w:rPr>
            </w:pPr>
            <w:r>
              <w:rPr>
                <w:rFonts w:ascii="Bookman Old Style" w:eastAsia="Calibri" w:hAnsi="Bookman Old Style"/>
                <w:b/>
              </w:rPr>
              <w:t>7.133.574</w:t>
            </w:r>
          </w:p>
        </w:tc>
      </w:tr>
    </w:tbl>
    <w:p w14:paraId="174D5704" w14:textId="77777777" w:rsidR="00BA392F" w:rsidRPr="009E10DF" w:rsidRDefault="00A463A9" w:rsidP="00634115">
      <w:pPr>
        <w:pStyle w:val="Paragrafoelenco"/>
        <w:jc w:val="both"/>
        <w:rPr>
          <w:rFonts w:ascii="Bookman Old Style" w:eastAsia="Calibri" w:hAnsi="Bookman Old Style"/>
          <w:b/>
        </w:rPr>
      </w:pPr>
      <w:r>
        <w:rPr>
          <w:rFonts w:ascii="Bookman Old Style" w:eastAsia="Calibri" w:hAnsi="Bookman Old Style"/>
          <w:b/>
        </w:rPr>
        <w:t>.</w:t>
      </w:r>
    </w:p>
    <w:p w14:paraId="0D0FEFBA" w14:textId="77777777" w:rsidR="00634115" w:rsidRDefault="00634115" w:rsidP="00634115">
      <w:pPr>
        <w:pStyle w:val="Paragrafoelenco"/>
        <w:jc w:val="both"/>
        <w:rPr>
          <w:rFonts w:ascii="Bookman Old Style" w:hAnsi="Bookman Old Style" w:cs="Arial"/>
        </w:rPr>
      </w:pPr>
    </w:p>
    <w:p w14:paraId="376C59AF" w14:textId="77777777" w:rsidR="00634115" w:rsidRDefault="00634115" w:rsidP="00634115">
      <w:pPr>
        <w:pStyle w:val="Paragrafoelenco"/>
        <w:numPr>
          <w:ilvl w:val="0"/>
          <w:numId w:val="2"/>
        </w:numPr>
        <w:jc w:val="both"/>
        <w:rPr>
          <w:rFonts w:ascii="Bookman Old Style" w:hAnsi="Bookman Old Style" w:cs="Arial"/>
        </w:rPr>
      </w:pPr>
      <w:r>
        <w:rPr>
          <w:rFonts w:ascii="Bookman Old Style" w:hAnsi="Bookman Old Style" w:cs="Arial"/>
        </w:rPr>
        <w:t xml:space="preserve">un Accordo Quadro per l’affidamento dei servizi di gestione dei centri di accoglienza di cittadini extracomunitari richiedenti protezione internazionale, individuati dai concorrenti, costituiti da centri collettivi ciascuno con una capacità ricettiva massima di 50 posti, nei quali i servizi </w:t>
      </w:r>
      <w:r w:rsidR="00D316B9">
        <w:rPr>
          <w:rFonts w:ascii="Bookman Old Style" w:hAnsi="Bookman Old Style" w:cs="Arial"/>
        </w:rPr>
        <w:t xml:space="preserve">di cui alla lettera a) </w:t>
      </w:r>
      <w:r>
        <w:rPr>
          <w:rFonts w:ascii="Bookman Old Style" w:hAnsi="Bookman Old Style" w:cs="Arial"/>
        </w:rPr>
        <w:t>devono essere erogati direttamente dall’ente gestore.</w:t>
      </w:r>
    </w:p>
    <w:p w14:paraId="52B9615F" w14:textId="77777777" w:rsidR="00634115" w:rsidRDefault="00634115" w:rsidP="00634115">
      <w:pPr>
        <w:pStyle w:val="Paragrafoelenco"/>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s="Arial"/>
        </w:rPr>
        <w:t xml:space="preserve">Le strutture di accoglienza, messe a disposizione dai partecipanti alla gara, devono essere ubicate nel territorio della provincia di </w:t>
      </w:r>
      <w:r w:rsidR="00AE32E4">
        <w:rPr>
          <w:rFonts w:ascii="Bookman Old Style" w:hAnsi="Bookman Old Style" w:cs="Arial"/>
        </w:rPr>
        <w:t>Ascoli Piceno</w:t>
      </w:r>
      <w:r>
        <w:rPr>
          <w:rFonts w:ascii="Bookman Old Style" w:hAnsi="Bookman Old Style" w:cs="Arial"/>
        </w:rPr>
        <w:t xml:space="preserve"> - per un </w:t>
      </w: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fabbisogno teorico di nr. </w:t>
      </w:r>
      <w:r w:rsidR="00BA6CBC">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C62CB">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A6CBC">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posti di accoglienza.</w:t>
      </w:r>
    </w:p>
    <w:p w14:paraId="2CD94856" w14:textId="77777777" w:rsidR="00866F43" w:rsidRDefault="00866F43" w:rsidP="00866F43">
      <w:pPr>
        <w:pStyle w:val="Paragrafoelenco"/>
        <w:jc w:val="both"/>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valore complessivo presunto in base al fabbisogno teorico di n. 1</w:t>
      </w:r>
      <w:r w:rsidR="00E46145">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posti  viene stimato in  € </w:t>
      </w:r>
      <w:r w:rsidR="00E46145">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6145">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443</w:t>
      </w:r>
      <w:r w:rsidR="00E65714">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46145">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r w:rsidR="00E65714">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D316B9">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dato dalla somma dei punti 1,2,3,:</w:t>
      </w:r>
    </w:p>
    <w:p w14:paraId="26B8E861" w14:textId="77777777" w:rsidR="00866F43" w:rsidRPr="00866F43" w:rsidRDefault="00866F43" w:rsidP="00866F43">
      <w:pPr>
        <w:ind w:left="567"/>
        <w:jc w:val="both"/>
        <w:rPr>
          <w:rFonts w:ascii="Bookman Old Style" w:eastAsia="Calibri" w:hAnsi="Bookman Old Styl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16B9">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9,30 pro capite- pro die per il servizio di gestione di centri di accoglienza messi a disposizione del concorrente;</w:t>
      </w:r>
    </w:p>
    <w:p w14:paraId="1EB7A29D" w14:textId="77777777" w:rsidR="00866F43" w:rsidRPr="00FC4B96" w:rsidRDefault="00FC4B96" w:rsidP="00FC4B96">
      <w:pPr>
        <w:ind w:left="142"/>
        <w:jc w:val="both"/>
        <w:rPr>
          <w:rFonts w:ascii="Bookman Old Style" w:eastAsia="Calibri" w:hAnsi="Bookman Old Styl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sidR="00866F43" w:rsidRPr="00FC4B96">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65714" w:rsidRPr="00FC4B96">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300,00 PRO  CAPITE</w:t>
      </w:r>
      <w:r w:rsidR="00866F43" w:rsidRPr="00FC4B96">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la fornitura del kit</w:t>
      </w:r>
      <w:r w:rsidRPr="00FC4B96">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un turn over stimato nel corso dei due anni pari a 4:</w:t>
      </w:r>
    </w:p>
    <w:p w14:paraId="05E61E8E" w14:textId="77777777" w:rsidR="00866F43" w:rsidRPr="00866F43" w:rsidRDefault="00D316B9" w:rsidP="00866F43">
      <w:pPr>
        <w:ind w:left="567"/>
        <w:jc w:val="both"/>
        <w:rPr>
          <w:rFonts w:ascii="Bookman Old Style" w:eastAsia="Calibri" w:hAnsi="Bookman Old Style"/>
        </w:rPr>
      </w:pPr>
      <w:r>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66F43" w:rsidRP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2,50 </w:t>
      </w:r>
      <w:r w:rsidR="000848C1">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 capite. pro die </w:t>
      </w:r>
      <w:r w:rsidR="00866F43" w:rsidRP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 soggetti a ribasso, per la fornitura del pocket money e  </w:t>
      </w:r>
      <w:r w:rsidR="00C8659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w:t>
      </w:r>
      <w:r w:rsidR="00866F43" w:rsidRP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tessera telefonica  </w:t>
      </w:r>
      <w:r w:rsidR="00C8659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€ 5,00</w:t>
      </w:r>
      <w:r w:rsidR="00866F43" w:rsidRPr="00866F43">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un turn over stimato nel corso dei due anni pari a 4:</w:t>
      </w:r>
    </w:p>
    <w:p w14:paraId="682EE5EE" w14:textId="77777777" w:rsidR="00BD3258" w:rsidRDefault="00BD3258" w:rsidP="00634115">
      <w:pPr>
        <w:pStyle w:val="Paragrafoelenco"/>
        <w:jc w:val="both"/>
        <w:rPr>
          <w:rFonts w:ascii="Bookman Old Style" w:eastAsia="Calibri" w:hAnsi="Bookman Old Style"/>
        </w:rPr>
      </w:pPr>
    </w:p>
    <w:p w14:paraId="6A37CC13" w14:textId="77777777" w:rsidR="00634115" w:rsidRDefault="00634115" w:rsidP="00634115">
      <w:pPr>
        <w:pStyle w:val="Paragrafoelenco"/>
        <w:jc w:val="both"/>
        <w:rPr>
          <w:rFonts w:ascii="Bookman Old Style" w:eastAsia="Calibri" w:hAnsi="Bookman Old Style"/>
          <w:b/>
        </w:rPr>
      </w:pP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w:t>
      </w:r>
      <w:r>
        <w:rPr>
          <w:rFonts w:ascii="Bookman Old Style" w:eastAsia="Calibri" w:hAnsi="Bookman Old Style"/>
        </w:rPr>
        <w:t xml:space="preserve">rezzo pro-capite/pro-die posto a base di gara è stabilito in € </w:t>
      </w:r>
      <w:r w:rsidR="003622DC" w:rsidRPr="00716AD7">
        <w:rPr>
          <w:rFonts w:ascii="Bookman Old Style" w:eastAsia="Calibri" w:hAnsi="Bookman Old Style"/>
          <w:b/>
        </w:rPr>
        <w:t>33,47</w:t>
      </w:r>
      <w:r w:rsidRPr="00716AD7">
        <w:rPr>
          <w:rFonts w:ascii="Bookman Old Style" w:eastAsia="Calibri" w:hAnsi="Bookman Old Style"/>
          <w:b/>
        </w:rPr>
        <w:t>.</w:t>
      </w:r>
    </w:p>
    <w:p w14:paraId="799CF554" w14:textId="77777777" w:rsidR="00A463A9" w:rsidRDefault="00A463A9" w:rsidP="00A463A9">
      <w:pPr>
        <w:pStyle w:val="Paragrafoelenco"/>
        <w:jc w:val="both"/>
        <w:rPr>
          <w:rFonts w:ascii="Bookman Old Style" w:eastAsia="Calibri" w:hAnsi="Bookman Old Style"/>
          <w:b/>
        </w:rPr>
      </w:pPr>
      <w:r>
        <w:rPr>
          <w:rFonts w:ascii="Bookman Old Style" w:eastAsia="Calibri" w:hAnsi="Bookman Old Style"/>
          <w:b/>
        </w:rPr>
        <w:t>Il valore complessivo  tenendo conto delle opzioni di cui all’art. 106 comma 1 lettera a ) ed e)</w:t>
      </w:r>
      <w:r w:rsidR="00642583">
        <w:rPr>
          <w:rFonts w:ascii="Bookman Old Style" w:eastAsia="Calibri" w:hAnsi="Bookman Old Style"/>
          <w:b/>
        </w:rPr>
        <w:t xml:space="preserve"> del d. lgs. 50/2016</w:t>
      </w:r>
      <w:r>
        <w:rPr>
          <w:rFonts w:ascii="Bookman Old Style" w:eastAsia="Calibri" w:hAnsi="Bookman Old Style"/>
          <w:b/>
        </w:rPr>
        <w:t xml:space="preserve"> è PARI AD €  </w:t>
      </w:r>
      <w:r w:rsidR="00E46145">
        <w:rPr>
          <w:rFonts w:ascii="Bookman Old Style" w:eastAsia="Calibri" w:hAnsi="Bookman Old Style"/>
          <w:b/>
        </w:rPr>
        <w:t>4</w:t>
      </w:r>
      <w:r>
        <w:rPr>
          <w:rFonts w:ascii="Bookman Old Style" w:eastAsia="Calibri" w:hAnsi="Bookman Old Style"/>
          <w:b/>
        </w:rPr>
        <w:t>.</w:t>
      </w:r>
      <w:r w:rsidR="00E46145">
        <w:rPr>
          <w:rFonts w:ascii="Bookman Old Style" w:eastAsia="Calibri" w:hAnsi="Bookman Old Style"/>
          <w:b/>
        </w:rPr>
        <w:t>153</w:t>
      </w:r>
      <w:r>
        <w:rPr>
          <w:rFonts w:ascii="Bookman Old Style" w:eastAsia="Calibri" w:hAnsi="Bookman Old Style"/>
          <w:b/>
        </w:rPr>
        <w:t>.</w:t>
      </w:r>
      <w:r w:rsidR="00E46145">
        <w:rPr>
          <w:rFonts w:ascii="Bookman Old Style" w:eastAsia="Calibri" w:hAnsi="Bookman Old Style"/>
          <w:b/>
        </w:rPr>
        <w:t>78</w:t>
      </w:r>
      <w:r>
        <w:rPr>
          <w:rFonts w:ascii="Bookman Old Style" w:eastAsia="Calibri" w:hAnsi="Bookman Old Style"/>
          <w:b/>
        </w:rPr>
        <w:t>0,00 cosi determinato:</w:t>
      </w:r>
    </w:p>
    <w:p w14:paraId="157C7E18" w14:textId="77777777" w:rsidR="00A463A9" w:rsidRPr="009E10DF" w:rsidRDefault="00A463A9" w:rsidP="00A463A9">
      <w:pPr>
        <w:pStyle w:val="Paragrafoelenco"/>
        <w:jc w:val="both"/>
        <w:rPr>
          <w:rFonts w:ascii="Bookman Old Style" w:eastAsia="Calibri" w:hAnsi="Bookman Old Style"/>
          <w:b/>
        </w:rPr>
      </w:pPr>
    </w:p>
    <w:p w14:paraId="63FE2BD1" w14:textId="77777777" w:rsidR="00A463A9" w:rsidRPr="009E10DF" w:rsidRDefault="00A463A9" w:rsidP="00A463A9">
      <w:pPr>
        <w:pStyle w:val="Paragrafoelenco"/>
        <w:jc w:val="both"/>
        <w:rPr>
          <w:rFonts w:ascii="Bookman Old Style" w:eastAsia="Calibri" w:hAnsi="Bookman Old Style"/>
          <w:b/>
        </w:rPr>
      </w:pPr>
    </w:p>
    <w:p w14:paraId="28E3ED9C" w14:textId="77777777" w:rsidR="00A463A9" w:rsidRDefault="00A463A9" w:rsidP="00634115">
      <w:pPr>
        <w:pStyle w:val="Paragrafoelenco"/>
        <w:jc w:val="both"/>
        <w:rPr>
          <w:rFonts w:ascii="Bookman Old Style" w:hAnsi="Bookman Old Style" w:cs="Arial"/>
        </w:rPr>
      </w:pPr>
    </w:p>
    <w:tbl>
      <w:tblPr>
        <w:tblStyle w:val="Grigliatabella"/>
        <w:tblW w:w="0" w:type="auto"/>
        <w:tblInd w:w="720" w:type="dxa"/>
        <w:tblLook w:val="04A0" w:firstRow="1" w:lastRow="0" w:firstColumn="1" w:lastColumn="0" w:noHBand="0" w:noVBand="1"/>
      </w:tblPr>
      <w:tblGrid>
        <w:gridCol w:w="1383"/>
        <w:gridCol w:w="3085"/>
        <w:gridCol w:w="3057"/>
        <w:gridCol w:w="1383"/>
      </w:tblGrid>
      <w:tr w:rsidR="00A463A9" w14:paraId="181E23F5" w14:textId="77777777" w:rsidTr="00A34C57">
        <w:tc>
          <w:tcPr>
            <w:tcW w:w="0" w:type="auto"/>
          </w:tcPr>
          <w:p w14:paraId="4B1F36BD" w14:textId="77777777" w:rsidR="00A463A9" w:rsidRDefault="00A463A9" w:rsidP="00A34C57">
            <w:pPr>
              <w:pStyle w:val="Paragrafoelenco"/>
              <w:ind w:left="0"/>
              <w:jc w:val="both"/>
              <w:rPr>
                <w:rFonts w:ascii="Bookman Old Style" w:eastAsia="Calibri" w:hAnsi="Bookman Old Style"/>
                <w:b/>
              </w:rPr>
            </w:pPr>
            <w:r>
              <w:rPr>
                <w:rFonts w:ascii="Bookman Old Style" w:eastAsia="Calibri" w:hAnsi="Bookman Old Style"/>
                <w:b/>
              </w:rPr>
              <w:t>importo</w:t>
            </w:r>
          </w:p>
        </w:tc>
        <w:tc>
          <w:tcPr>
            <w:tcW w:w="0" w:type="auto"/>
          </w:tcPr>
          <w:p w14:paraId="0783CBED" w14:textId="77777777" w:rsidR="00A463A9" w:rsidRPr="00642583" w:rsidRDefault="00A463A9" w:rsidP="00A34C57">
            <w:pPr>
              <w:pStyle w:val="Paragrafoelenco"/>
              <w:ind w:left="0"/>
              <w:jc w:val="both"/>
              <w:rPr>
                <w:rFonts w:ascii="Bookman Old Style" w:eastAsia="Calibri" w:hAnsi="Bookman Old Style"/>
                <w:b/>
                <w:lang w:val="en-US"/>
              </w:rPr>
            </w:pPr>
            <w:r w:rsidRPr="00642583">
              <w:rPr>
                <w:rFonts w:ascii="Bookman Old Style" w:eastAsia="Calibri" w:hAnsi="Bookman Old Style"/>
                <w:b/>
                <w:lang w:val="en-US"/>
              </w:rPr>
              <w:t>art.106comma 1 lett.a)- 50%</w:t>
            </w:r>
            <w:r w:rsidR="00642583" w:rsidRPr="00642583">
              <w:rPr>
                <w:rFonts w:ascii="Bookman Old Style" w:eastAsia="Calibri" w:hAnsi="Bookman Old Style"/>
                <w:b/>
                <w:lang w:val="en-US"/>
              </w:rPr>
              <w:t>-d.lgs.50/2016</w:t>
            </w:r>
          </w:p>
        </w:tc>
        <w:tc>
          <w:tcPr>
            <w:tcW w:w="0" w:type="auto"/>
          </w:tcPr>
          <w:p w14:paraId="6632FFB6" w14:textId="77777777" w:rsidR="00A463A9" w:rsidRPr="00642583" w:rsidRDefault="00A463A9" w:rsidP="00A34C57">
            <w:pPr>
              <w:pStyle w:val="Paragrafoelenco"/>
              <w:ind w:left="0"/>
              <w:jc w:val="both"/>
              <w:rPr>
                <w:rFonts w:ascii="Bookman Old Style" w:eastAsia="Calibri" w:hAnsi="Bookman Old Style"/>
                <w:b/>
                <w:lang w:val="en-US"/>
              </w:rPr>
            </w:pPr>
            <w:r w:rsidRPr="00642583">
              <w:rPr>
                <w:rFonts w:ascii="Bookman Old Style" w:eastAsia="Calibri" w:hAnsi="Bookman Old Style"/>
                <w:b/>
                <w:lang w:val="en-US"/>
              </w:rPr>
              <w:t>art.106comma 1 lett.e)-20%</w:t>
            </w:r>
            <w:r w:rsidR="00642583" w:rsidRPr="00642583">
              <w:rPr>
                <w:rFonts w:ascii="Bookman Old Style" w:eastAsia="Calibri" w:hAnsi="Bookman Old Style"/>
                <w:b/>
                <w:lang w:val="en-US"/>
              </w:rPr>
              <w:t>-d.lgs.50/2016</w:t>
            </w:r>
          </w:p>
        </w:tc>
        <w:tc>
          <w:tcPr>
            <w:tcW w:w="0" w:type="auto"/>
          </w:tcPr>
          <w:p w14:paraId="4D88E74C" w14:textId="77777777" w:rsidR="00A463A9" w:rsidRDefault="00A463A9" w:rsidP="00A34C57">
            <w:pPr>
              <w:pStyle w:val="Paragrafoelenco"/>
              <w:ind w:left="0"/>
              <w:jc w:val="both"/>
              <w:rPr>
                <w:rFonts w:ascii="Bookman Old Style" w:eastAsia="Calibri" w:hAnsi="Bookman Old Style"/>
                <w:b/>
              </w:rPr>
            </w:pPr>
            <w:r>
              <w:rPr>
                <w:rFonts w:ascii="Bookman Old Style" w:eastAsia="Calibri" w:hAnsi="Bookman Old Style"/>
                <w:b/>
              </w:rPr>
              <w:t>totale</w:t>
            </w:r>
          </w:p>
        </w:tc>
      </w:tr>
      <w:tr w:rsidR="00A463A9" w14:paraId="102E2D16" w14:textId="77777777" w:rsidTr="00A34C57">
        <w:tc>
          <w:tcPr>
            <w:tcW w:w="0" w:type="auto"/>
          </w:tcPr>
          <w:p w14:paraId="57561D35" w14:textId="77777777" w:rsidR="00A463A9" w:rsidRDefault="00E46145" w:rsidP="00987372">
            <w:pPr>
              <w:pStyle w:val="Paragrafoelenco"/>
              <w:ind w:left="0"/>
              <w:jc w:val="center"/>
              <w:rPr>
                <w:rFonts w:ascii="Bookman Old Style" w:eastAsia="Calibri" w:hAnsi="Bookman Old Style"/>
                <w:b/>
              </w:rPr>
            </w:pPr>
            <w:r>
              <w:rPr>
                <w:rFonts w:ascii="Bookman Old Style" w:eastAsia="Calibri" w:hAnsi="Bookman Old Style"/>
                <w:b/>
              </w:rPr>
              <w:t>2</w:t>
            </w:r>
            <w:r w:rsidR="00A463A9">
              <w:rPr>
                <w:rFonts w:ascii="Bookman Old Style" w:eastAsia="Calibri" w:hAnsi="Bookman Old Style"/>
                <w:b/>
              </w:rPr>
              <w:t>.</w:t>
            </w:r>
            <w:r>
              <w:rPr>
                <w:rFonts w:ascii="Bookman Old Style" w:eastAsia="Calibri" w:hAnsi="Bookman Old Style"/>
                <w:b/>
              </w:rPr>
              <w:t>443.400</w:t>
            </w:r>
          </w:p>
        </w:tc>
        <w:tc>
          <w:tcPr>
            <w:tcW w:w="0" w:type="auto"/>
          </w:tcPr>
          <w:p w14:paraId="1DAB64BB" w14:textId="77777777" w:rsidR="00A463A9" w:rsidRDefault="00E46145" w:rsidP="00987372">
            <w:pPr>
              <w:pStyle w:val="Paragrafoelenco"/>
              <w:ind w:left="0"/>
              <w:jc w:val="center"/>
              <w:rPr>
                <w:rFonts w:ascii="Bookman Old Style" w:eastAsia="Calibri" w:hAnsi="Bookman Old Style"/>
                <w:b/>
              </w:rPr>
            </w:pPr>
            <w:r>
              <w:rPr>
                <w:rFonts w:ascii="Bookman Old Style" w:eastAsia="Calibri" w:hAnsi="Bookman Old Style"/>
                <w:b/>
              </w:rPr>
              <w:t>1</w:t>
            </w:r>
            <w:r w:rsidR="00A463A9">
              <w:rPr>
                <w:rFonts w:ascii="Bookman Old Style" w:eastAsia="Calibri" w:hAnsi="Bookman Old Style"/>
                <w:b/>
              </w:rPr>
              <w:t>.</w:t>
            </w:r>
            <w:r>
              <w:rPr>
                <w:rFonts w:ascii="Bookman Old Style" w:eastAsia="Calibri" w:hAnsi="Bookman Old Style"/>
                <w:b/>
              </w:rPr>
              <w:t>221</w:t>
            </w:r>
            <w:r w:rsidR="00A463A9">
              <w:rPr>
                <w:rFonts w:ascii="Bookman Old Style" w:eastAsia="Calibri" w:hAnsi="Bookman Old Style"/>
                <w:b/>
              </w:rPr>
              <w:t>.</w:t>
            </w:r>
            <w:r>
              <w:rPr>
                <w:rFonts w:ascii="Bookman Old Style" w:eastAsia="Calibri" w:hAnsi="Bookman Old Style"/>
                <w:b/>
              </w:rPr>
              <w:t>700</w:t>
            </w:r>
          </w:p>
        </w:tc>
        <w:tc>
          <w:tcPr>
            <w:tcW w:w="0" w:type="auto"/>
          </w:tcPr>
          <w:p w14:paraId="534411AE" w14:textId="77777777" w:rsidR="00A463A9" w:rsidRDefault="00E46145" w:rsidP="00987372">
            <w:pPr>
              <w:pStyle w:val="Paragrafoelenco"/>
              <w:ind w:left="0"/>
              <w:jc w:val="center"/>
              <w:rPr>
                <w:rFonts w:ascii="Bookman Old Style" w:eastAsia="Calibri" w:hAnsi="Bookman Old Style"/>
                <w:b/>
              </w:rPr>
            </w:pPr>
            <w:r>
              <w:rPr>
                <w:rFonts w:ascii="Bookman Old Style" w:eastAsia="Calibri" w:hAnsi="Bookman Old Style"/>
                <w:b/>
              </w:rPr>
              <w:t>488</w:t>
            </w:r>
            <w:r w:rsidR="00A463A9">
              <w:rPr>
                <w:rFonts w:ascii="Bookman Old Style" w:eastAsia="Calibri" w:hAnsi="Bookman Old Style"/>
                <w:b/>
              </w:rPr>
              <w:t>.</w:t>
            </w:r>
            <w:r>
              <w:rPr>
                <w:rFonts w:ascii="Bookman Old Style" w:eastAsia="Calibri" w:hAnsi="Bookman Old Style"/>
                <w:b/>
              </w:rPr>
              <w:t>680</w:t>
            </w:r>
          </w:p>
        </w:tc>
        <w:tc>
          <w:tcPr>
            <w:tcW w:w="0" w:type="auto"/>
          </w:tcPr>
          <w:p w14:paraId="75671F71" w14:textId="77777777" w:rsidR="00A463A9" w:rsidRDefault="00E46145" w:rsidP="00987372">
            <w:pPr>
              <w:pStyle w:val="Paragrafoelenco"/>
              <w:ind w:left="0"/>
              <w:jc w:val="center"/>
              <w:rPr>
                <w:rFonts w:ascii="Bookman Old Style" w:eastAsia="Calibri" w:hAnsi="Bookman Old Style"/>
                <w:b/>
              </w:rPr>
            </w:pPr>
            <w:r>
              <w:rPr>
                <w:rFonts w:ascii="Bookman Old Style" w:eastAsia="Calibri" w:hAnsi="Bookman Old Style"/>
                <w:b/>
              </w:rPr>
              <w:t>4</w:t>
            </w:r>
            <w:r w:rsidR="00A463A9">
              <w:rPr>
                <w:rFonts w:ascii="Bookman Old Style" w:eastAsia="Calibri" w:hAnsi="Bookman Old Style"/>
                <w:b/>
              </w:rPr>
              <w:t>.</w:t>
            </w:r>
            <w:r>
              <w:rPr>
                <w:rFonts w:ascii="Bookman Old Style" w:eastAsia="Calibri" w:hAnsi="Bookman Old Style"/>
                <w:b/>
              </w:rPr>
              <w:t>153</w:t>
            </w:r>
            <w:r w:rsidR="00A463A9">
              <w:rPr>
                <w:rFonts w:ascii="Bookman Old Style" w:eastAsia="Calibri" w:hAnsi="Bookman Old Style"/>
                <w:b/>
              </w:rPr>
              <w:t>.</w:t>
            </w:r>
            <w:r>
              <w:rPr>
                <w:rFonts w:ascii="Bookman Old Style" w:eastAsia="Calibri" w:hAnsi="Bookman Old Style"/>
                <w:b/>
              </w:rPr>
              <w:t>780</w:t>
            </w:r>
          </w:p>
        </w:tc>
      </w:tr>
    </w:tbl>
    <w:p w14:paraId="5684625B" w14:textId="77777777" w:rsidR="00A463A9" w:rsidRPr="009E10DF" w:rsidRDefault="00A463A9" w:rsidP="00A463A9">
      <w:pPr>
        <w:pStyle w:val="Paragrafoelenco"/>
        <w:jc w:val="both"/>
        <w:rPr>
          <w:rFonts w:ascii="Bookman Old Style" w:eastAsia="Calibri" w:hAnsi="Bookman Old Style"/>
          <w:b/>
        </w:rPr>
      </w:pPr>
      <w:r>
        <w:rPr>
          <w:rFonts w:ascii="Bookman Old Style" w:eastAsia="Calibri" w:hAnsi="Bookman Old Style"/>
          <w:b/>
        </w:rPr>
        <w:lastRenderedPageBreak/>
        <w:t>.</w:t>
      </w:r>
    </w:p>
    <w:p w14:paraId="2FBE3432" w14:textId="77777777" w:rsidR="00A463A9" w:rsidRPr="009E10DF" w:rsidRDefault="00A463A9" w:rsidP="00BA392F">
      <w:pPr>
        <w:pStyle w:val="Paragrafoelenco"/>
        <w:jc w:val="both"/>
        <w:rPr>
          <w:rFonts w:ascii="Bookman Old Style" w:eastAsia="Calibri" w:hAnsi="Bookman Old Style"/>
          <w:b/>
        </w:rPr>
      </w:pPr>
    </w:p>
    <w:p w14:paraId="2EE534A9" w14:textId="77777777" w:rsidR="00BD3258" w:rsidRDefault="00BD3258" w:rsidP="00634115">
      <w:pPr>
        <w:ind w:left="360"/>
        <w:jc w:val="both"/>
        <w:rPr>
          <w:rFonts w:ascii="Bookman Old Style" w:eastAsiaTheme="minorHAnsi" w:hAnsi="Bookman Old Style" w:cs="Arial"/>
          <w:sz w:val="22"/>
          <w:szCs w:val="22"/>
        </w:rPr>
      </w:pPr>
    </w:p>
    <w:p w14:paraId="2A2210B6" w14:textId="77777777" w:rsidR="00634115" w:rsidRDefault="00634115" w:rsidP="00634115">
      <w:pPr>
        <w:ind w:left="360"/>
        <w:jc w:val="both"/>
        <w:rPr>
          <w:rFonts w:ascii="Bookman Old Style" w:eastAsiaTheme="minorHAnsi" w:hAnsi="Bookman Old Style" w:cs="Arial"/>
          <w:sz w:val="22"/>
          <w:szCs w:val="22"/>
        </w:rPr>
      </w:pPr>
      <w:r>
        <w:rPr>
          <w:rFonts w:ascii="Bookman Old Style" w:eastAsiaTheme="minorHAnsi" w:hAnsi="Bookman Old Style" w:cs="Arial"/>
          <w:sz w:val="22"/>
          <w:szCs w:val="22"/>
        </w:rPr>
        <w:t xml:space="preserve">I predetti Accordi Quadro avranno una durata di due anni, a decorrere in via presuntiva dal 1° </w:t>
      </w:r>
      <w:r w:rsidR="00542673">
        <w:rPr>
          <w:rFonts w:ascii="Bookman Old Style" w:eastAsiaTheme="minorHAnsi" w:hAnsi="Bookman Old Style" w:cs="Arial"/>
          <w:sz w:val="22"/>
          <w:szCs w:val="22"/>
        </w:rPr>
        <w:t>ottobre</w:t>
      </w:r>
      <w:r w:rsidR="008B7288">
        <w:rPr>
          <w:rFonts w:ascii="Bookman Old Style" w:eastAsiaTheme="minorHAnsi" w:hAnsi="Bookman Old Style" w:cs="Arial"/>
          <w:sz w:val="22"/>
          <w:szCs w:val="22"/>
        </w:rPr>
        <w:t xml:space="preserve"> 2021.</w:t>
      </w:r>
    </w:p>
    <w:p w14:paraId="77E7DD5F" w14:textId="77777777" w:rsidR="00542673" w:rsidRDefault="00542673" w:rsidP="00634115">
      <w:pPr>
        <w:ind w:left="360"/>
        <w:jc w:val="both"/>
        <w:rPr>
          <w:rFonts w:ascii="Bookman Old Style" w:eastAsiaTheme="minorHAnsi" w:hAnsi="Bookman Old Style" w:cs="Arial"/>
          <w:sz w:val="22"/>
          <w:szCs w:val="22"/>
        </w:rPr>
      </w:pPr>
    </w:p>
    <w:p w14:paraId="15247BC0" w14:textId="77777777" w:rsidR="00634115" w:rsidRDefault="00634115" w:rsidP="00634115">
      <w:pPr>
        <w:ind w:left="360"/>
        <w:jc w:val="both"/>
        <w:rPr>
          <w:rFonts w:ascii="Bookman Old Style" w:eastAsiaTheme="minorHAnsi" w:hAnsi="Bookman Old Style" w:cs="Arial"/>
          <w:sz w:val="22"/>
          <w:szCs w:val="22"/>
        </w:rPr>
      </w:pPr>
      <w:r>
        <w:rPr>
          <w:rFonts w:ascii="Bookman Old Style" w:eastAsiaTheme="minorHAnsi" w:hAnsi="Bookman Old Style" w:cs="Arial"/>
          <w:sz w:val="22"/>
          <w:szCs w:val="22"/>
        </w:rPr>
        <w:t>Le gar</w:t>
      </w:r>
      <w:r w:rsidR="00AE32E4">
        <w:rPr>
          <w:rFonts w:ascii="Bookman Old Style" w:eastAsiaTheme="minorHAnsi" w:hAnsi="Bookman Old Style" w:cs="Arial"/>
          <w:sz w:val="22"/>
          <w:szCs w:val="22"/>
        </w:rPr>
        <w:t>e</w:t>
      </w:r>
      <w:r>
        <w:rPr>
          <w:rFonts w:ascii="Bookman Old Style" w:eastAsiaTheme="minorHAnsi" w:hAnsi="Bookman Old Style" w:cs="Arial"/>
          <w:sz w:val="22"/>
          <w:szCs w:val="22"/>
        </w:rPr>
        <w:t xml:space="preserve"> in argomento saranno aggiudicate con il criterio dell’offerta economicamente più vantaggiosa ai sensi dell’art. 95, comma 3, lett. a) del D. Lgs. 50/2016, utilizzando i criteri ed i sub-criteri indicati nell’Allegato </w:t>
      </w:r>
      <w:r w:rsidR="00047012">
        <w:rPr>
          <w:rFonts w:ascii="Bookman Old Style" w:eastAsiaTheme="minorHAnsi" w:hAnsi="Bookman Old Style" w:cs="Arial"/>
          <w:sz w:val="22"/>
          <w:szCs w:val="22"/>
        </w:rPr>
        <w:t>1-ter (unità abitative)</w:t>
      </w:r>
      <w:r w:rsidR="00E46145">
        <w:rPr>
          <w:rFonts w:ascii="Bookman Old Style" w:eastAsiaTheme="minorHAnsi" w:hAnsi="Bookman Old Style" w:cs="Arial"/>
          <w:sz w:val="22"/>
          <w:szCs w:val="22"/>
        </w:rPr>
        <w:t xml:space="preserve"> e </w:t>
      </w:r>
      <w:r w:rsidR="00C86593">
        <w:rPr>
          <w:rFonts w:ascii="Bookman Old Style" w:eastAsiaTheme="minorHAnsi" w:hAnsi="Bookman Old Style" w:cs="Arial"/>
          <w:sz w:val="22"/>
          <w:szCs w:val="22"/>
        </w:rPr>
        <w:t xml:space="preserve">allegato </w:t>
      </w:r>
      <w:r w:rsidR="00D316B9">
        <w:rPr>
          <w:rFonts w:ascii="Bookman Old Style" w:eastAsiaTheme="minorHAnsi" w:hAnsi="Bookman Old Style" w:cs="Arial"/>
          <w:sz w:val="22"/>
          <w:szCs w:val="22"/>
        </w:rPr>
        <w:t>2</w:t>
      </w:r>
      <w:r w:rsidR="00047012">
        <w:rPr>
          <w:rFonts w:ascii="Bookman Old Style" w:eastAsiaTheme="minorHAnsi" w:hAnsi="Bookman Old Style" w:cs="Arial"/>
          <w:sz w:val="22"/>
          <w:szCs w:val="22"/>
        </w:rPr>
        <w:t>-ter (centri collettivi fino a 50 posti)</w:t>
      </w:r>
      <w:r>
        <w:rPr>
          <w:rFonts w:ascii="Bookman Old Style" w:eastAsiaTheme="minorHAnsi" w:hAnsi="Bookman Old Style" w:cs="Arial"/>
          <w:sz w:val="22"/>
          <w:szCs w:val="22"/>
        </w:rPr>
        <w:t xml:space="preserve"> al Capitolato d’appalto approvato con decreto del Ministro dell’Interno in data 2</w:t>
      </w:r>
      <w:r w:rsidR="000C5C4C">
        <w:rPr>
          <w:rFonts w:ascii="Bookman Old Style" w:eastAsiaTheme="minorHAnsi" w:hAnsi="Bookman Old Style" w:cs="Arial"/>
          <w:sz w:val="22"/>
          <w:szCs w:val="22"/>
        </w:rPr>
        <w:t>9 gennaio 2021.</w:t>
      </w:r>
    </w:p>
    <w:p w14:paraId="33AC4081" w14:textId="77777777" w:rsidR="000C5C4C" w:rsidRDefault="000C5C4C" w:rsidP="00634115">
      <w:pPr>
        <w:ind w:left="360"/>
        <w:jc w:val="both"/>
        <w:rPr>
          <w:rFonts w:ascii="Bookman Old Style" w:eastAsiaTheme="minorHAnsi" w:hAnsi="Bookman Old Style" w:cs="Arial"/>
          <w:sz w:val="22"/>
          <w:szCs w:val="22"/>
        </w:rPr>
      </w:pPr>
    </w:p>
    <w:p w14:paraId="723360D6" w14:textId="77777777" w:rsidR="00634115" w:rsidRDefault="00634115" w:rsidP="00634115">
      <w:pPr>
        <w:ind w:left="360"/>
        <w:jc w:val="both"/>
        <w:rPr>
          <w:rFonts w:ascii="Bookman Old Style" w:eastAsiaTheme="minorHAnsi" w:hAnsi="Bookman Old Style" w:cs="Arial"/>
          <w:sz w:val="22"/>
          <w:szCs w:val="22"/>
        </w:rPr>
      </w:pPr>
      <w:r>
        <w:rPr>
          <w:rFonts w:ascii="Bookman Old Style" w:eastAsiaTheme="minorHAnsi" w:hAnsi="Bookman Old Style" w:cs="Arial"/>
          <w:sz w:val="22"/>
          <w:szCs w:val="22"/>
        </w:rPr>
        <w:t xml:space="preserve">Le gare saranno espletate in modalità elettronica, avvalendosi dell’applicativo informatico predisposto da CONSIP sul portale </w:t>
      </w:r>
      <w:hyperlink r:id="rId7" w:history="1">
        <w:r>
          <w:rPr>
            <w:rStyle w:val="Collegamentoipertestuale"/>
            <w:rFonts w:ascii="Bookman Old Style" w:eastAsiaTheme="minorHAnsi" w:hAnsi="Bookman Old Style" w:cs="Arial"/>
            <w:sz w:val="22"/>
            <w:szCs w:val="22"/>
          </w:rPr>
          <w:t>www.acquistinretepa.it</w:t>
        </w:r>
      </w:hyperlink>
    </w:p>
    <w:p w14:paraId="3816F8FD" w14:textId="77777777" w:rsidR="00634115" w:rsidRDefault="00634115" w:rsidP="00634115">
      <w:pPr>
        <w:ind w:left="360"/>
        <w:jc w:val="both"/>
        <w:rPr>
          <w:rFonts w:ascii="Bookman Old Style" w:eastAsiaTheme="minorHAnsi" w:hAnsi="Bookman Old Style" w:cs="Arial"/>
          <w:sz w:val="22"/>
          <w:szCs w:val="22"/>
        </w:rPr>
      </w:pPr>
    </w:p>
    <w:p w14:paraId="645AD681" w14:textId="77777777" w:rsidR="00634115" w:rsidRDefault="00634115" w:rsidP="00634115">
      <w:pPr>
        <w:ind w:left="360"/>
        <w:jc w:val="both"/>
        <w:rPr>
          <w:rFonts w:ascii="Bookman Old Style" w:eastAsiaTheme="minorHAnsi" w:hAnsi="Bookman Old Style"/>
          <w:sz w:val="22"/>
          <w:szCs w:val="22"/>
        </w:rPr>
      </w:pPr>
      <w:r>
        <w:rPr>
          <w:rFonts w:ascii="Bookman Old Style" w:hAnsi="Bookman Old Style"/>
          <w:sz w:val="22"/>
          <w:szCs w:val="22"/>
        </w:rPr>
        <w:t>Il Dr. Costantino Francesco Senesi – Dirigente di questa Prefettura - è incaricato di svolgere l</w:t>
      </w:r>
      <w:r w:rsidR="008B7288">
        <w:rPr>
          <w:rFonts w:ascii="Bookman Old Style" w:hAnsi="Bookman Old Style"/>
          <w:sz w:val="22"/>
          <w:szCs w:val="22"/>
        </w:rPr>
        <w:t>e</w:t>
      </w:r>
      <w:r>
        <w:rPr>
          <w:rFonts w:ascii="Bookman Old Style" w:hAnsi="Bookman Old Style"/>
          <w:sz w:val="22"/>
          <w:szCs w:val="22"/>
        </w:rPr>
        <w:t xml:space="preserve"> funzioni di Responsabile Unico del Procedimento ai sensi art. 31 del D. Lgs. n. 50/2016.</w:t>
      </w:r>
    </w:p>
    <w:p w14:paraId="0BE3EF7A" w14:textId="77777777" w:rsidR="00542673" w:rsidRDefault="00634115" w:rsidP="00634115">
      <w:pPr>
        <w:ind w:left="360"/>
        <w:jc w:val="both"/>
        <w:rPr>
          <w:rFonts w:ascii="Bookman Old Style" w:eastAsiaTheme="minorHAnsi" w:hAnsi="Bookman Old Style" w:cs="Arial"/>
          <w:sz w:val="22"/>
          <w:szCs w:val="22"/>
        </w:rPr>
      </w:pPr>
      <w:r>
        <w:rPr>
          <w:rFonts w:ascii="Bookman Old Style" w:eastAsiaTheme="minorHAnsi" w:hAnsi="Bookman Old Style" w:cs="Arial"/>
          <w:sz w:val="22"/>
          <w:szCs w:val="22"/>
        </w:rPr>
        <w:tab/>
      </w:r>
      <w:r>
        <w:rPr>
          <w:rFonts w:ascii="Bookman Old Style" w:eastAsiaTheme="minorHAnsi" w:hAnsi="Bookman Old Style" w:cs="Arial"/>
          <w:sz w:val="22"/>
          <w:szCs w:val="22"/>
        </w:rPr>
        <w:tab/>
      </w:r>
      <w:r>
        <w:rPr>
          <w:rFonts w:ascii="Bookman Old Style" w:eastAsiaTheme="minorHAnsi" w:hAnsi="Bookman Old Style" w:cs="Arial"/>
          <w:sz w:val="22"/>
          <w:szCs w:val="22"/>
        </w:rPr>
        <w:tab/>
      </w:r>
      <w:r>
        <w:rPr>
          <w:rFonts w:ascii="Bookman Old Style" w:eastAsiaTheme="minorHAnsi" w:hAnsi="Bookman Old Style" w:cs="Arial"/>
          <w:sz w:val="22"/>
          <w:szCs w:val="22"/>
        </w:rPr>
        <w:tab/>
      </w:r>
      <w:r>
        <w:rPr>
          <w:rFonts w:ascii="Bookman Old Style" w:eastAsiaTheme="minorHAnsi" w:hAnsi="Bookman Old Style" w:cs="Arial"/>
          <w:sz w:val="22"/>
          <w:szCs w:val="22"/>
        </w:rPr>
        <w:tab/>
      </w:r>
      <w:r>
        <w:rPr>
          <w:rFonts w:ascii="Bookman Old Style" w:eastAsiaTheme="minorHAnsi" w:hAnsi="Bookman Old Style" w:cs="Arial"/>
          <w:sz w:val="22"/>
          <w:szCs w:val="22"/>
        </w:rPr>
        <w:tab/>
      </w:r>
    </w:p>
    <w:p w14:paraId="4266E247" w14:textId="77777777" w:rsidR="00634115" w:rsidRDefault="00542673" w:rsidP="00634115">
      <w:pPr>
        <w:ind w:left="360"/>
        <w:jc w:val="both"/>
        <w:rPr>
          <w:rFonts w:ascii="Bookman Old Style" w:eastAsiaTheme="minorHAnsi" w:hAnsi="Bookman Old Style" w:cs="Arial"/>
          <w:i/>
          <w:sz w:val="22"/>
          <w:szCs w:val="22"/>
        </w:rPr>
      </w:pPr>
      <w:r>
        <w:rPr>
          <w:rFonts w:ascii="Bookman Old Style" w:eastAsiaTheme="minorHAnsi" w:hAnsi="Bookman Old Style" w:cs="Arial"/>
          <w:sz w:val="22"/>
          <w:szCs w:val="22"/>
        </w:rPr>
        <w:t xml:space="preserve">                                                         </w:t>
      </w:r>
      <w:r w:rsidR="008B7288">
        <w:rPr>
          <w:rFonts w:ascii="Bookman Old Style" w:eastAsiaTheme="minorHAnsi" w:hAnsi="Bookman Old Style" w:cs="Arial"/>
          <w:sz w:val="22"/>
          <w:szCs w:val="22"/>
        </w:rPr>
        <w:t>IL</w:t>
      </w:r>
      <w:r w:rsidR="003622DC">
        <w:rPr>
          <w:rFonts w:ascii="Bookman Old Style" w:eastAsiaTheme="minorHAnsi" w:hAnsi="Bookman Old Style" w:cs="Arial"/>
          <w:sz w:val="22"/>
          <w:szCs w:val="22"/>
        </w:rPr>
        <w:t xml:space="preserve"> </w:t>
      </w:r>
      <w:r w:rsidR="008D08E5">
        <w:rPr>
          <w:rFonts w:ascii="Bookman Old Style" w:eastAsiaTheme="minorHAnsi" w:hAnsi="Bookman Old Style" w:cs="Arial"/>
          <w:sz w:val="22"/>
          <w:szCs w:val="22"/>
        </w:rPr>
        <w:t>PREFETTO</w:t>
      </w:r>
    </w:p>
    <w:p w14:paraId="00039829" w14:textId="77777777" w:rsidR="00634115" w:rsidRDefault="00634115" w:rsidP="00634115">
      <w:pPr>
        <w:ind w:left="360"/>
        <w:jc w:val="both"/>
        <w:rPr>
          <w:rFonts w:ascii="Bookman Old Style" w:eastAsiaTheme="minorHAnsi" w:hAnsi="Bookman Old Style" w:cs="Arial"/>
          <w:i/>
          <w:sz w:val="22"/>
          <w:szCs w:val="22"/>
        </w:rPr>
      </w:pPr>
      <w:r>
        <w:rPr>
          <w:rFonts w:ascii="Bookman Old Style" w:eastAsiaTheme="minorHAnsi" w:hAnsi="Bookman Old Style" w:cs="Arial"/>
          <w:i/>
          <w:sz w:val="22"/>
          <w:szCs w:val="22"/>
        </w:rPr>
        <w:tab/>
      </w:r>
      <w:r>
        <w:rPr>
          <w:rFonts w:ascii="Bookman Old Style" w:eastAsiaTheme="minorHAnsi" w:hAnsi="Bookman Old Style" w:cs="Arial"/>
          <w:i/>
          <w:sz w:val="22"/>
          <w:szCs w:val="22"/>
        </w:rPr>
        <w:tab/>
      </w:r>
      <w:r>
        <w:rPr>
          <w:rFonts w:ascii="Bookman Old Style" w:eastAsiaTheme="minorHAnsi" w:hAnsi="Bookman Old Style" w:cs="Arial"/>
          <w:i/>
          <w:sz w:val="22"/>
          <w:szCs w:val="22"/>
        </w:rPr>
        <w:tab/>
      </w:r>
      <w:r>
        <w:rPr>
          <w:rFonts w:ascii="Bookman Old Style" w:eastAsiaTheme="minorHAnsi" w:hAnsi="Bookman Old Style" w:cs="Arial"/>
          <w:i/>
          <w:sz w:val="22"/>
          <w:szCs w:val="22"/>
        </w:rPr>
        <w:tab/>
      </w:r>
      <w:r>
        <w:rPr>
          <w:rFonts w:ascii="Bookman Old Style" w:eastAsiaTheme="minorHAnsi" w:hAnsi="Bookman Old Style" w:cs="Arial"/>
          <w:i/>
          <w:sz w:val="22"/>
          <w:szCs w:val="22"/>
        </w:rPr>
        <w:tab/>
      </w:r>
      <w:r>
        <w:rPr>
          <w:rFonts w:ascii="Bookman Old Style" w:eastAsiaTheme="minorHAnsi" w:hAnsi="Bookman Old Style" w:cs="Arial"/>
          <w:i/>
          <w:sz w:val="22"/>
          <w:szCs w:val="22"/>
        </w:rPr>
        <w:tab/>
        <w:t xml:space="preserve"> </w:t>
      </w:r>
      <w:r w:rsidR="008D08E5">
        <w:rPr>
          <w:rFonts w:ascii="Bookman Old Style" w:eastAsiaTheme="minorHAnsi" w:hAnsi="Bookman Old Style" w:cs="Arial"/>
          <w:i/>
          <w:sz w:val="22"/>
          <w:szCs w:val="22"/>
        </w:rPr>
        <w:t xml:space="preserve">  De  Rogatis</w:t>
      </w:r>
      <w:r>
        <w:rPr>
          <w:rFonts w:ascii="Bookman Old Style" w:eastAsiaTheme="minorHAnsi" w:hAnsi="Bookman Old Style" w:cs="Arial"/>
          <w:i/>
          <w:sz w:val="22"/>
          <w:szCs w:val="22"/>
        </w:rPr>
        <w:tab/>
      </w:r>
    </w:p>
    <w:p w14:paraId="24F1129F" w14:textId="77777777" w:rsidR="008B7288" w:rsidRDefault="008B7288" w:rsidP="00634115">
      <w:pPr>
        <w:ind w:left="360"/>
        <w:jc w:val="both"/>
        <w:rPr>
          <w:rFonts w:ascii="Bookman Old Style" w:eastAsiaTheme="minorHAnsi" w:hAnsi="Bookman Old Style" w:cs="Arial"/>
          <w:i/>
          <w:sz w:val="22"/>
          <w:szCs w:val="22"/>
        </w:rPr>
      </w:pPr>
    </w:p>
    <w:p w14:paraId="4F641A4E" w14:textId="77777777" w:rsidR="008B7288" w:rsidRDefault="008B7288" w:rsidP="00634115">
      <w:pPr>
        <w:ind w:left="360"/>
        <w:jc w:val="both"/>
        <w:rPr>
          <w:rFonts w:ascii="Bookman Old Style" w:eastAsiaTheme="minorHAnsi" w:hAnsi="Bookman Old Style" w:cs="Arial"/>
          <w:i/>
          <w:sz w:val="22"/>
          <w:szCs w:val="22"/>
        </w:rPr>
      </w:pPr>
    </w:p>
    <w:p w14:paraId="4E520102" w14:textId="77777777" w:rsidR="00647372" w:rsidRDefault="008B7288" w:rsidP="008B7288">
      <w:pPr>
        <w:ind w:left="360"/>
        <w:jc w:val="both"/>
      </w:pPr>
      <w:r>
        <w:rPr>
          <w:rFonts w:ascii="Bookman Old Style" w:eastAsiaTheme="minorHAnsi" w:hAnsi="Bookman Old Style" w:cs="Arial"/>
          <w:i/>
          <w:sz w:val="22"/>
          <w:szCs w:val="22"/>
        </w:rPr>
        <w:t>ES/es</w:t>
      </w:r>
    </w:p>
    <w:sectPr w:rsidR="00647372" w:rsidSect="00E23AF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E673" w14:textId="77777777" w:rsidR="00A74A5C" w:rsidRDefault="00A74A5C" w:rsidP="00C613C4">
      <w:r>
        <w:separator/>
      </w:r>
    </w:p>
  </w:endnote>
  <w:endnote w:type="continuationSeparator" w:id="0">
    <w:p w14:paraId="4AE4718F" w14:textId="77777777" w:rsidR="00A74A5C" w:rsidRDefault="00A74A5C" w:rsidP="00C6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A2BE" w14:textId="77777777" w:rsidR="00286038" w:rsidRPr="00977327" w:rsidRDefault="00286038" w:rsidP="00146B0E">
    <w:pPr>
      <w:rPr>
        <w:i/>
        <w:sz w:val="16"/>
        <w:szCs w:val="16"/>
      </w:rPr>
    </w:pPr>
  </w:p>
  <w:p w14:paraId="1EC10FCB" w14:textId="77777777" w:rsidR="00286038" w:rsidRPr="00977327" w:rsidRDefault="00286038" w:rsidP="00146B0E">
    <w:pPr>
      <w:jc w:val="center"/>
      <w:rPr>
        <w:i/>
        <w:sz w:val="16"/>
        <w:szCs w:val="16"/>
      </w:rPr>
    </w:pPr>
  </w:p>
  <w:p w14:paraId="6F879E22" w14:textId="77777777" w:rsidR="00C613C4" w:rsidRPr="00977327" w:rsidRDefault="00C613C4" w:rsidP="00236D07">
    <w:pPr>
      <w:tabs>
        <w:tab w:val="center" w:pos="4819"/>
        <w:tab w:val="right" w:pos="9638"/>
      </w:tabs>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83A4" w14:textId="77777777" w:rsidR="00A74A5C" w:rsidRDefault="00A74A5C" w:rsidP="00C613C4">
      <w:r>
        <w:separator/>
      </w:r>
    </w:p>
  </w:footnote>
  <w:footnote w:type="continuationSeparator" w:id="0">
    <w:p w14:paraId="3D78509D" w14:textId="77777777" w:rsidR="00A74A5C" w:rsidRDefault="00A74A5C" w:rsidP="00C6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C06A" w14:textId="77777777" w:rsidR="00C613C4" w:rsidRPr="00C613C4" w:rsidRDefault="001833D3" w:rsidP="001833D3">
    <w:pPr>
      <w:ind w:right="-1"/>
      <w:jc w:val="center"/>
    </w:pPr>
    <w:r>
      <w:rPr>
        <w:noProof/>
      </w:rPr>
      <w:drawing>
        <wp:inline distT="0" distB="0" distL="0" distR="0" wp14:anchorId="2B734ED3" wp14:editId="01A3CBCC">
          <wp:extent cx="609600" cy="640080"/>
          <wp:effectExtent l="0" t="0" r="0" b="762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40080"/>
                  </a:xfrm>
                  <a:prstGeom prst="rect">
                    <a:avLst/>
                  </a:prstGeom>
                  <a:noFill/>
                  <a:ln>
                    <a:noFill/>
                  </a:ln>
                </pic:spPr>
              </pic:pic>
            </a:graphicData>
          </a:graphic>
        </wp:inline>
      </w:drawing>
    </w:r>
  </w:p>
  <w:p w14:paraId="42DC76F4" w14:textId="77777777" w:rsidR="001833D3" w:rsidRDefault="00674A68" w:rsidP="001833D3">
    <w:pPr>
      <w:pStyle w:val="Intestazione"/>
      <w:jc w:val="center"/>
      <w:rPr>
        <w:rFonts w:ascii="Palace Script MT" w:hAnsi="Palace Script MT"/>
        <w:sz w:val="88"/>
        <w:szCs w:val="88"/>
      </w:rPr>
    </w:pPr>
    <w:r>
      <w:rPr>
        <w:rFonts w:ascii="Palace Script MT" w:hAnsi="Palace Script MT"/>
        <w:sz w:val="88"/>
        <w:szCs w:val="88"/>
      </w:rPr>
      <w:t>Il Prefetto di Ascoli Piceno</w:t>
    </w:r>
  </w:p>
  <w:p w14:paraId="1ECC3D51" w14:textId="77777777" w:rsidR="00C613C4" w:rsidRDefault="00C613C4" w:rsidP="0028603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3A1C"/>
    <w:multiLevelType w:val="hybridMultilevel"/>
    <w:tmpl w:val="2880120E"/>
    <w:lvl w:ilvl="0" w:tplc="04100001">
      <w:start w:val="1"/>
      <w:numFmt w:val="bullet"/>
      <w:lvlText w:val=""/>
      <w:lvlJc w:val="left"/>
      <w:pPr>
        <w:ind w:left="789" w:hanging="360"/>
      </w:pPr>
      <w:rPr>
        <w:rFonts w:ascii="Symbol" w:hAnsi="Symbol" w:hint="default"/>
      </w:rPr>
    </w:lvl>
    <w:lvl w:ilvl="1" w:tplc="04100003" w:tentative="1">
      <w:start w:val="1"/>
      <w:numFmt w:val="bullet"/>
      <w:lvlText w:val="o"/>
      <w:lvlJc w:val="left"/>
      <w:pPr>
        <w:ind w:left="1509" w:hanging="360"/>
      </w:pPr>
      <w:rPr>
        <w:rFonts w:ascii="Courier New" w:hAnsi="Courier New" w:cs="Courier New" w:hint="default"/>
      </w:rPr>
    </w:lvl>
    <w:lvl w:ilvl="2" w:tplc="04100005" w:tentative="1">
      <w:start w:val="1"/>
      <w:numFmt w:val="bullet"/>
      <w:lvlText w:val=""/>
      <w:lvlJc w:val="left"/>
      <w:pPr>
        <w:ind w:left="2229" w:hanging="360"/>
      </w:pPr>
      <w:rPr>
        <w:rFonts w:ascii="Wingdings" w:hAnsi="Wingdings" w:hint="default"/>
      </w:rPr>
    </w:lvl>
    <w:lvl w:ilvl="3" w:tplc="04100001" w:tentative="1">
      <w:start w:val="1"/>
      <w:numFmt w:val="bullet"/>
      <w:lvlText w:val=""/>
      <w:lvlJc w:val="left"/>
      <w:pPr>
        <w:ind w:left="2949" w:hanging="360"/>
      </w:pPr>
      <w:rPr>
        <w:rFonts w:ascii="Symbol" w:hAnsi="Symbol" w:hint="default"/>
      </w:rPr>
    </w:lvl>
    <w:lvl w:ilvl="4" w:tplc="04100003" w:tentative="1">
      <w:start w:val="1"/>
      <w:numFmt w:val="bullet"/>
      <w:lvlText w:val="o"/>
      <w:lvlJc w:val="left"/>
      <w:pPr>
        <w:ind w:left="3669" w:hanging="360"/>
      </w:pPr>
      <w:rPr>
        <w:rFonts w:ascii="Courier New" w:hAnsi="Courier New" w:cs="Courier New" w:hint="default"/>
      </w:rPr>
    </w:lvl>
    <w:lvl w:ilvl="5" w:tplc="04100005" w:tentative="1">
      <w:start w:val="1"/>
      <w:numFmt w:val="bullet"/>
      <w:lvlText w:val=""/>
      <w:lvlJc w:val="left"/>
      <w:pPr>
        <w:ind w:left="4389" w:hanging="360"/>
      </w:pPr>
      <w:rPr>
        <w:rFonts w:ascii="Wingdings" w:hAnsi="Wingdings" w:hint="default"/>
      </w:rPr>
    </w:lvl>
    <w:lvl w:ilvl="6" w:tplc="04100001" w:tentative="1">
      <w:start w:val="1"/>
      <w:numFmt w:val="bullet"/>
      <w:lvlText w:val=""/>
      <w:lvlJc w:val="left"/>
      <w:pPr>
        <w:ind w:left="5109" w:hanging="360"/>
      </w:pPr>
      <w:rPr>
        <w:rFonts w:ascii="Symbol" w:hAnsi="Symbol" w:hint="default"/>
      </w:rPr>
    </w:lvl>
    <w:lvl w:ilvl="7" w:tplc="04100003" w:tentative="1">
      <w:start w:val="1"/>
      <w:numFmt w:val="bullet"/>
      <w:lvlText w:val="o"/>
      <w:lvlJc w:val="left"/>
      <w:pPr>
        <w:ind w:left="5829" w:hanging="360"/>
      </w:pPr>
      <w:rPr>
        <w:rFonts w:ascii="Courier New" w:hAnsi="Courier New" w:cs="Courier New" w:hint="default"/>
      </w:rPr>
    </w:lvl>
    <w:lvl w:ilvl="8" w:tplc="04100005" w:tentative="1">
      <w:start w:val="1"/>
      <w:numFmt w:val="bullet"/>
      <w:lvlText w:val=""/>
      <w:lvlJc w:val="left"/>
      <w:pPr>
        <w:ind w:left="6549" w:hanging="360"/>
      </w:pPr>
      <w:rPr>
        <w:rFonts w:ascii="Wingdings" w:hAnsi="Wingdings" w:hint="default"/>
      </w:rPr>
    </w:lvl>
  </w:abstractNum>
  <w:abstractNum w:abstractNumId="1" w15:restartNumberingAfterBreak="0">
    <w:nsid w:val="349D37A7"/>
    <w:multiLevelType w:val="hybridMultilevel"/>
    <w:tmpl w:val="2E248D4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5D66112"/>
    <w:multiLevelType w:val="hybridMultilevel"/>
    <w:tmpl w:val="CCC41584"/>
    <w:lvl w:ilvl="0" w:tplc="13480CC2">
      <w:start w:val="1"/>
      <w:numFmt w:val="decimal"/>
      <w:lvlText w:val="%1)"/>
      <w:lvlJc w:val="left"/>
      <w:pPr>
        <w:ind w:left="502" w:hanging="360"/>
      </w:pPr>
      <w:rPr>
        <w:rFonts w:eastAsia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5D666A3D"/>
    <w:multiLevelType w:val="hybridMultilevel"/>
    <w:tmpl w:val="93C67870"/>
    <w:lvl w:ilvl="0" w:tplc="CC046E08">
      <w:start w:val="1"/>
      <w:numFmt w:val="lowerLetter"/>
      <w:lvlText w:val="%1)"/>
      <w:lvlJc w:val="left"/>
      <w:pPr>
        <w:ind w:left="1080" w:hanging="360"/>
      </w:pPr>
      <w:rPr>
        <w:rFonts w:ascii="Times New Roman" w:eastAsia="Times New Roman" w:hAnsi="Times New Roman" w:cs="Times New Roman"/>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16cid:durableId="13123715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883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6277339">
    <w:abstractNumId w:val="1"/>
  </w:num>
  <w:num w:numId="4" w16cid:durableId="1106850159">
    <w:abstractNumId w:val="0"/>
  </w:num>
  <w:num w:numId="5" w16cid:durableId="1528837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15"/>
    <w:rsid w:val="00022D56"/>
    <w:rsid w:val="00047012"/>
    <w:rsid w:val="00067EDD"/>
    <w:rsid w:val="000848C1"/>
    <w:rsid w:val="000C1EE4"/>
    <w:rsid w:val="000C5C4C"/>
    <w:rsid w:val="000D07D6"/>
    <w:rsid w:val="000D5FA0"/>
    <w:rsid w:val="000F692B"/>
    <w:rsid w:val="00106A59"/>
    <w:rsid w:val="00146B0E"/>
    <w:rsid w:val="0018012A"/>
    <w:rsid w:val="001833D3"/>
    <w:rsid w:val="001A796C"/>
    <w:rsid w:val="001C5E73"/>
    <w:rsid w:val="001C76C7"/>
    <w:rsid w:val="001D575C"/>
    <w:rsid w:val="00210E3C"/>
    <w:rsid w:val="0022366B"/>
    <w:rsid w:val="00236D07"/>
    <w:rsid w:val="002624EF"/>
    <w:rsid w:val="00286038"/>
    <w:rsid w:val="002A1DFD"/>
    <w:rsid w:val="002E2290"/>
    <w:rsid w:val="00325234"/>
    <w:rsid w:val="003622DC"/>
    <w:rsid w:val="0036655C"/>
    <w:rsid w:val="003A69E1"/>
    <w:rsid w:val="003B35C6"/>
    <w:rsid w:val="003F4A4E"/>
    <w:rsid w:val="00427B2C"/>
    <w:rsid w:val="004A62D4"/>
    <w:rsid w:val="004C53F6"/>
    <w:rsid w:val="004C5693"/>
    <w:rsid w:val="00542673"/>
    <w:rsid w:val="00542A86"/>
    <w:rsid w:val="00563A3C"/>
    <w:rsid w:val="005978A7"/>
    <w:rsid w:val="005A1A0B"/>
    <w:rsid w:val="005F0EA0"/>
    <w:rsid w:val="005F691C"/>
    <w:rsid w:val="00634115"/>
    <w:rsid w:val="00635FB6"/>
    <w:rsid w:val="00642583"/>
    <w:rsid w:val="00647372"/>
    <w:rsid w:val="00674A68"/>
    <w:rsid w:val="0069542C"/>
    <w:rsid w:val="006E60CC"/>
    <w:rsid w:val="006E7C26"/>
    <w:rsid w:val="00716AD7"/>
    <w:rsid w:val="00722987"/>
    <w:rsid w:val="007647E3"/>
    <w:rsid w:val="0077201A"/>
    <w:rsid w:val="00866F43"/>
    <w:rsid w:val="008809DF"/>
    <w:rsid w:val="00886C8A"/>
    <w:rsid w:val="008978AC"/>
    <w:rsid w:val="008B7288"/>
    <w:rsid w:val="008D08E5"/>
    <w:rsid w:val="008F4BBE"/>
    <w:rsid w:val="009025BE"/>
    <w:rsid w:val="009063BC"/>
    <w:rsid w:val="0093277A"/>
    <w:rsid w:val="009539CE"/>
    <w:rsid w:val="0095537D"/>
    <w:rsid w:val="00960FDE"/>
    <w:rsid w:val="00977327"/>
    <w:rsid w:val="00987372"/>
    <w:rsid w:val="00996E7B"/>
    <w:rsid w:val="009C62CB"/>
    <w:rsid w:val="009D7D19"/>
    <w:rsid w:val="009E10DF"/>
    <w:rsid w:val="00A463A9"/>
    <w:rsid w:val="00A618C3"/>
    <w:rsid w:val="00A636A4"/>
    <w:rsid w:val="00A74A5C"/>
    <w:rsid w:val="00A83FA1"/>
    <w:rsid w:val="00AB7830"/>
    <w:rsid w:val="00AE32E4"/>
    <w:rsid w:val="00AF0384"/>
    <w:rsid w:val="00B2595F"/>
    <w:rsid w:val="00B31D80"/>
    <w:rsid w:val="00B53A5F"/>
    <w:rsid w:val="00BA392F"/>
    <w:rsid w:val="00BA6CBC"/>
    <w:rsid w:val="00BB2DEF"/>
    <w:rsid w:val="00BD3258"/>
    <w:rsid w:val="00C04073"/>
    <w:rsid w:val="00C45A2F"/>
    <w:rsid w:val="00C613C4"/>
    <w:rsid w:val="00C72E4E"/>
    <w:rsid w:val="00C86125"/>
    <w:rsid w:val="00C86593"/>
    <w:rsid w:val="00CD3C6A"/>
    <w:rsid w:val="00D316B9"/>
    <w:rsid w:val="00D4529C"/>
    <w:rsid w:val="00D642A1"/>
    <w:rsid w:val="00D66196"/>
    <w:rsid w:val="00D77ED1"/>
    <w:rsid w:val="00D869F4"/>
    <w:rsid w:val="00E46145"/>
    <w:rsid w:val="00E65714"/>
    <w:rsid w:val="00E73E0E"/>
    <w:rsid w:val="00EC0014"/>
    <w:rsid w:val="00EC0D77"/>
    <w:rsid w:val="00EC5981"/>
    <w:rsid w:val="00F41C97"/>
    <w:rsid w:val="00F42197"/>
    <w:rsid w:val="00F9022D"/>
    <w:rsid w:val="00FC2A1A"/>
    <w:rsid w:val="00FC4B96"/>
    <w:rsid w:val="00FC5A25"/>
    <w:rsid w:val="00FF6171"/>
    <w:rsid w:val="00FF6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FFCFBE"/>
  <w15:docId w15:val="{D68D5942-D90D-4AF6-91E6-D4CCF6CD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1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3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3C4"/>
    <w:rPr>
      <w:rFonts w:ascii="Tahoma" w:hAnsi="Tahoma" w:cs="Tahoma"/>
      <w:sz w:val="16"/>
      <w:szCs w:val="16"/>
    </w:rPr>
  </w:style>
  <w:style w:type="paragraph" w:styleId="Intestazione">
    <w:name w:val="header"/>
    <w:basedOn w:val="Normale"/>
    <w:link w:val="IntestazioneCarattere"/>
    <w:uiPriority w:val="99"/>
    <w:unhideWhenUsed/>
    <w:rsid w:val="00C613C4"/>
    <w:pPr>
      <w:tabs>
        <w:tab w:val="center" w:pos="4819"/>
        <w:tab w:val="right" w:pos="9638"/>
      </w:tabs>
    </w:pPr>
  </w:style>
  <w:style w:type="character" w:customStyle="1" w:styleId="IntestazioneCarattere">
    <w:name w:val="Intestazione Carattere"/>
    <w:basedOn w:val="Carpredefinitoparagrafo"/>
    <w:link w:val="Intestazione"/>
    <w:uiPriority w:val="99"/>
    <w:rsid w:val="00C613C4"/>
  </w:style>
  <w:style w:type="paragraph" w:styleId="Pidipagina">
    <w:name w:val="footer"/>
    <w:basedOn w:val="Normale"/>
    <w:link w:val="PidipaginaCarattere"/>
    <w:uiPriority w:val="99"/>
    <w:unhideWhenUsed/>
    <w:rsid w:val="00C613C4"/>
    <w:pPr>
      <w:tabs>
        <w:tab w:val="center" w:pos="4819"/>
        <w:tab w:val="right" w:pos="9638"/>
      </w:tabs>
    </w:pPr>
  </w:style>
  <w:style w:type="character" w:customStyle="1" w:styleId="PidipaginaCarattere">
    <w:name w:val="Piè di pagina Carattere"/>
    <w:basedOn w:val="Carpredefinitoparagrafo"/>
    <w:link w:val="Pidipagina"/>
    <w:uiPriority w:val="99"/>
    <w:rsid w:val="00C613C4"/>
  </w:style>
  <w:style w:type="table" w:styleId="Grigliatabella">
    <w:name w:val="Table Grid"/>
    <w:basedOn w:val="Tabellanormale"/>
    <w:uiPriority w:val="59"/>
    <w:rsid w:val="00C6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286038"/>
    <w:rPr>
      <w:color w:val="0000FF" w:themeColor="hyperlink"/>
      <w:u w:val="single"/>
    </w:rPr>
  </w:style>
  <w:style w:type="paragraph" w:styleId="Corpotesto">
    <w:name w:val="Body Text"/>
    <w:basedOn w:val="Normale"/>
    <w:link w:val="CorpotestoCarattere"/>
    <w:semiHidden/>
    <w:unhideWhenUsed/>
    <w:rsid w:val="00634115"/>
    <w:pPr>
      <w:jc w:val="both"/>
    </w:pPr>
  </w:style>
  <w:style w:type="character" w:customStyle="1" w:styleId="CorpotestoCarattere">
    <w:name w:val="Corpo testo Carattere"/>
    <w:basedOn w:val="Carpredefinitoparagrafo"/>
    <w:link w:val="Corpotesto"/>
    <w:semiHidden/>
    <w:rsid w:val="00634115"/>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34115"/>
    <w:pPr>
      <w:spacing w:after="200" w:line="276" w:lineRule="auto"/>
      <w:ind w:left="720"/>
      <w:contextualSpacing/>
    </w:pPr>
    <w:rPr>
      <w:rFonts w:asciiTheme="minorHAnsi" w:eastAsiaTheme="minorHAnsi" w:hAnsiTheme="minorHAnsi" w:cstheme="minorBidi"/>
      <w:sz w:val="22"/>
      <w:szCs w:val="22"/>
      <w:lang w:eastAsia="en-US"/>
    </w:rPr>
  </w:style>
  <w:style w:type="paragraph" w:styleId="Nessunaspaziatura">
    <w:name w:val="No Spacing"/>
    <w:uiPriority w:val="1"/>
    <w:qFormat/>
    <w:rsid w:val="00C72E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8885">
      <w:bodyDiv w:val="1"/>
      <w:marLeft w:val="0"/>
      <w:marRight w:val="0"/>
      <w:marTop w:val="0"/>
      <w:marBottom w:val="0"/>
      <w:divBdr>
        <w:top w:val="none" w:sz="0" w:space="0" w:color="auto"/>
        <w:left w:val="none" w:sz="0" w:space="0" w:color="auto"/>
        <w:bottom w:val="none" w:sz="0" w:space="0" w:color="auto"/>
        <w:right w:val="none" w:sz="0" w:space="0" w:color="auto"/>
      </w:divBdr>
    </w:div>
    <w:div w:id="1190029763">
      <w:bodyDiv w:val="1"/>
      <w:marLeft w:val="0"/>
      <w:marRight w:val="0"/>
      <w:marTop w:val="0"/>
      <w:marBottom w:val="0"/>
      <w:divBdr>
        <w:top w:val="none" w:sz="0" w:space="0" w:color="auto"/>
        <w:left w:val="none" w:sz="0" w:space="0" w:color="auto"/>
        <w:bottom w:val="none" w:sz="0" w:space="0" w:color="auto"/>
        <w:right w:val="none" w:sz="0" w:space="0" w:color="auto"/>
      </w:divBdr>
    </w:div>
    <w:div w:id="16035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p1037975\AppData\Local\Microsoft\Windows\Temporary%20Internet%20Files\Content.Outlook\BQ6DR2S4\1%20DECRETO%20PREFETTO%20A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DECRETO PREFETTO AP.dotx</Template>
  <TotalTime>0</TotalTime>
  <Pages>4</Pages>
  <Words>1170</Words>
  <Characters>6675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Francesco Senesi</dc:creator>
  <cp:lastModifiedBy>Paola Santoni</cp:lastModifiedBy>
  <cp:revision>2</cp:revision>
  <cp:lastPrinted>2021-05-10T12:14:00Z</cp:lastPrinted>
  <dcterms:created xsi:type="dcterms:W3CDTF">2024-02-13T15:45:00Z</dcterms:created>
  <dcterms:modified xsi:type="dcterms:W3CDTF">2024-02-13T15:45:00Z</dcterms:modified>
</cp:coreProperties>
</file>