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CB" w:rsidRDefault="002C11CB" w:rsidP="00D840F7">
      <w:pPr>
        <w:widowControl w:val="0"/>
        <w:spacing w:after="120"/>
        <w:jc w:val="both"/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>Prot. 86046 del 15/12/2022</w:t>
      </w:r>
    </w:p>
    <w:p w:rsidR="00B2500E" w:rsidRPr="00D840F7" w:rsidRDefault="00007262" w:rsidP="00D840F7">
      <w:pPr>
        <w:widowControl w:val="0"/>
        <w:spacing w:after="120"/>
        <w:jc w:val="both"/>
        <w:rPr>
          <w:rFonts w:asciiTheme="minorHAnsi" w:eastAsia="Microsoft JhengHei" w:hAnsiTheme="minorHAnsi" w:cs="Browallia New"/>
          <w:b/>
          <w:sz w:val="26"/>
          <w:szCs w:val="26"/>
          <w:lang w:eastAsia="ja-JP"/>
        </w:rPr>
      </w:pPr>
      <w:r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>RILEVATO</w:t>
      </w:r>
      <w:r w:rsidR="0001179C"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 xml:space="preserve">, che questa Prefettura deve affidare il servizio di </w:t>
      </w:r>
      <w:r w:rsidR="00B2500E" w:rsidRPr="00D840F7">
        <w:rPr>
          <w:rFonts w:asciiTheme="minorHAnsi" w:eastAsia="Microsoft JhengHei" w:hAnsiTheme="minorHAnsi" w:cs="Browallia New"/>
          <w:sz w:val="26"/>
          <w:szCs w:val="26"/>
          <w:lang w:eastAsia="ja-JP"/>
        </w:rPr>
        <w:t xml:space="preserve">manutenzione del poligono di tiro in uso alla Questura di Ascoli Piceno – dal 1^ </w:t>
      </w:r>
      <w:r w:rsidR="00841764">
        <w:rPr>
          <w:rFonts w:asciiTheme="minorHAnsi" w:eastAsia="Microsoft JhengHei" w:hAnsiTheme="minorHAnsi" w:cs="Browallia New"/>
          <w:sz w:val="26"/>
          <w:szCs w:val="26"/>
          <w:lang w:eastAsia="ja-JP"/>
        </w:rPr>
        <w:t xml:space="preserve">gennaio </w:t>
      </w:r>
      <w:r w:rsidR="00B2500E" w:rsidRPr="00D840F7">
        <w:rPr>
          <w:rFonts w:asciiTheme="minorHAnsi" w:eastAsia="Microsoft JhengHei" w:hAnsiTheme="minorHAnsi" w:cs="Browallia New"/>
          <w:sz w:val="26"/>
          <w:szCs w:val="26"/>
          <w:lang w:eastAsia="ja-JP"/>
        </w:rPr>
        <w:t>202</w:t>
      </w:r>
      <w:r w:rsidR="00841764">
        <w:rPr>
          <w:rFonts w:asciiTheme="minorHAnsi" w:eastAsia="Microsoft JhengHei" w:hAnsiTheme="minorHAnsi" w:cs="Browallia New"/>
          <w:sz w:val="26"/>
          <w:szCs w:val="26"/>
          <w:lang w:eastAsia="ja-JP"/>
        </w:rPr>
        <w:t>3</w:t>
      </w:r>
      <w:r w:rsidR="00B2500E" w:rsidRPr="00D840F7">
        <w:rPr>
          <w:rFonts w:asciiTheme="minorHAnsi" w:eastAsia="Microsoft JhengHei" w:hAnsiTheme="minorHAnsi" w:cs="Browallia New"/>
          <w:sz w:val="26"/>
          <w:szCs w:val="26"/>
          <w:lang w:eastAsia="ja-JP"/>
        </w:rPr>
        <w:t xml:space="preserve"> al 31 dicembre 202</w:t>
      </w:r>
      <w:r w:rsidR="00841764">
        <w:rPr>
          <w:rFonts w:asciiTheme="minorHAnsi" w:eastAsia="Microsoft JhengHei" w:hAnsiTheme="minorHAnsi" w:cs="Browallia New"/>
          <w:sz w:val="26"/>
          <w:szCs w:val="26"/>
          <w:lang w:eastAsia="ja-JP"/>
        </w:rPr>
        <w:t>4</w:t>
      </w:r>
      <w:r w:rsidR="00B2500E" w:rsidRPr="00D840F7">
        <w:rPr>
          <w:rFonts w:asciiTheme="minorHAnsi" w:eastAsia="Microsoft JhengHei" w:hAnsiTheme="minorHAnsi" w:cs="Browallia New"/>
          <w:b/>
          <w:sz w:val="26"/>
          <w:szCs w:val="26"/>
          <w:lang w:eastAsia="ja-JP"/>
        </w:rPr>
        <w:t xml:space="preserve">; </w:t>
      </w:r>
    </w:p>
    <w:p w:rsidR="00B2500E" w:rsidRPr="00D840F7" w:rsidRDefault="00B2500E" w:rsidP="00D840F7">
      <w:pPr>
        <w:spacing w:after="120"/>
        <w:jc w:val="both"/>
        <w:rPr>
          <w:rFonts w:asciiTheme="minorHAnsi" w:hAnsiTheme="minorHAnsi"/>
          <w:color w:val="1C2024"/>
          <w:sz w:val="26"/>
          <w:szCs w:val="26"/>
        </w:rPr>
      </w:pPr>
      <w:r w:rsidRPr="00D840F7">
        <w:rPr>
          <w:rFonts w:asciiTheme="minorHAnsi" w:hAnsiTheme="minorHAnsi"/>
          <w:b/>
          <w:color w:val="1C2024"/>
          <w:sz w:val="26"/>
          <w:szCs w:val="26"/>
        </w:rPr>
        <w:t>VISTA</w:t>
      </w:r>
      <w:r w:rsidRPr="00D840F7">
        <w:rPr>
          <w:rFonts w:asciiTheme="minorHAnsi" w:hAnsiTheme="minorHAnsi"/>
          <w:color w:val="1C2024"/>
          <w:sz w:val="26"/>
          <w:szCs w:val="26"/>
        </w:rPr>
        <w:t xml:space="preserve"> la circolare prot. n. </w:t>
      </w:r>
      <w:r w:rsidR="00841764">
        <w:rPr>
          <w:rFonts w:asciiTheme="minorHAnsi" w:hAnsiTheme="minorHAnsi"/>
          <w:color w:val="1C2024"/>
          <w:sz w:val="26"/>
          <w:szCs w:val="26"/>
        </w:rPr>
        <w:t>102027</w:t>
      </w:r>
      <w:r w:rsidRPr="00D840F7">
        <w:rPr>
          <w:rFonts w:asciiTheme="minorHAnsi" w:hAnsiTheme="minorHAnsi"/>
          <w:color w:val="1C2024"/>
          <w:sz w:val="26"/>
          <w:szCs w:val="26"/>
        </w:rPr>
        <w:t xml:space="preserve"> del </w:t>
      </w:r>
      <w:r w:rsidR="00841764">
        <w:rPr>
          <w:rFonts w:asciiTheme="minorHAnsi" w:hAnsiTheme="minorHAnsi"/>
          <w:color w:val="1C2024"/>
          <w:sz w:val="26"/>
          <w:szCs w:val="26"/>
        </w:rPr>
        <w:t>17</w:t>
      </w:r>
      <w:r w:rsidRPr="00D840F7">
        <w:rPr>
          <w:rFonts w:asciiTheme="minorHAnsi" w:hAnsiTheme="minorHAnsi"/>
          <w:color w:val="1C2024"/>
          <w:sz w:val="26"/>
          <w:szCs w:val="26"/>
        </w:rPr>
        <w:t>/10/202</w:t>
      </w:r>
      <w:r w:rsidR="00841764">
        <w:rPr>
          <w:rFonts w:asciiTheme="minorHAnsi" w:hAnsiTheme="minorHAnsi"/>
          <w:color w:val="1C2024"/>
          <w:sz w:val="26"/>
          <w:szCs w:val="26"/>
        </w:rPr>
        <w:t>2</w:t>
      </w:r>
      <w:r w:rsidRPr="00D840F7">
        <w:rPr>
          <w:rFonts w:asciiTheme="minorHAnsi" w:hAnsiTheme="minorHAnsi"/>
          <w:color w:val="1C2024"/>
          <w:sz w:val="26"/>
          <w:szCs w:val="26"/>
        </w:rPr>
        <w:t xml:space="preserve"> del Ministero dell'Interno - Dipartimento della Pubblica Sicurezza - Direzione Centrale dei Servizi Tecnico-Logistici e della Gestione Patrimoniale - Ufficio Attività Contrattuali per l'Accasermamento della Polizia di Stato, con la quale il citato Dicastero ha trasmesso il nuovo capitolato tecnico per il servizio di manutenzione, per l'anno 202</w:t>
      </w:r>
      <w:r w:rsidR="00841764">
        <w:rPr>
          <w:rFonts w:asciiTheme="minorHAnsi" w:hAnsiTheme="minorHAnsi"/>
          <w:color w:val="1C2024"/>
          <w:sz w:val="26"/>
          <w:szCs w:val="26"/>
        </w:rPr>
        <w:t>3</w:t>
      </w:r>
      <w:r w:rsidRPr="00D840F7">
        <w:rPr>
          <w:rFonts w:asciiTheme="minorHAnsi" w:hAnsiTheme="minorHAnsi"/>
          <w:color w:val="1C2024"/>
          <w:sz w:val="26"/>
          <w:szCs w:val="26"/>
        </w:rPr>
        <w:t>, dei Poligoni di Tiro in uso alla Polizia di Stato e richiesto di espletare apposita ricerca di mercato;</w:t>
      </w:r>
    </w:p>
    <w:p w:rsidR="00B2500E" w:rsidRPr="00D840F7" w:rsidRDefault="00B2500E" w:rsidP="00D840F7">
      <w:pPr>
        <w:spacing w:after="120"/>
        <w:jc w:val="both"/>
        <w:rPr>
          <w:rFonts w:asciiTheme="minorHAnsi" w:hAnsiTheme="minorHAnsi"/>
          <w:sz w:val="26"/>
          <w:szCs w:val="26"/>
        </w:rPr>
      </w:pPr>
      <w:r w:rsidRPr="00D840F7">
        <w:rPr>
          <w:rFonts w:asciiTheme="minorHAnsi" w:hAnsiTheme="minorHAnsi"/>
          <w:b/>
          <w:sz w:val="26"/>
          <w:szCs w:val="26"/>
        </w:rPr>
        <w:t>VISTA</w:t>
      </w:r>
      <w:r w:rsidRPr="00D840F7">
        <w:rPr>
          <w:rFonts w:asciiTheme="minorHAnsi" w:hAnsiTheme="minorHAnsi"/>
          <w:sz w:val="26"/>
          <w:szCs w:val="26"/>
        </w:rPr>
        <w:t xml:space="preserve"> la nota della Prefettura prot. </w:t>
      </w:r>
      <w:r w:rsidR="00841764">
        <w:rPr>
          <w:rFonts w:asciiTheme="minorHAnsi" w:hAnsiTheme="minorHAnsi"/>
          <w:sz w:val="26"/>
          <w:szCs w:val="26"/>
        </w:rPr>
        <w:t>72941</w:t>
      </w:r>
      <w:r w:rsidRPr="00D840F7">
        <w:rPr>
          <w:rFonts w:asciiTheme="minorHAnsi" w:hAnsiTheme="minorHAnsi"/>
          <w:sz w:val="26"/>
          <w:szCs w:val="26"/>
        </w:rPr>
        <w:t xml:space="preserve">  del </w:t>
      </w:r>
      <w:r w:rsidR="00841764">
        <w:rPr>
          <w:rFonts w:asciiTheme="minorHAnsi" w:hAnsiTheme="minorHAnsi"/>
          <w:sz w:val="26"/>
          <w:szCs w:val="26"/>
        </w:rPr>
        <w:t>19</w:t>
      </w:r>
      <w:r w:rsidRPr="00D840F7">
        <w:rPr>
          <w:rFonts w:asciiTheme="minorHAnsi" w:hAnsiTheme="minorHAnsi"/>
          <w:sz w:val="26"/>
          <w:szCs w:val="26"/>
        </w:rPr>
        <w:t>/10/202</w:t>
      </w:r>
      <w:r w:rsidR="00841764">
        <w:rPr>
          <w:rFonts w:asciiTheme="minorHAnsi" w:hAnsiTheme="minorHAnsi"/>
          <w:sz w:val="26"/>
          <w:szCs w:val="26"/>
        </w:rPr>
        <w:t>2</w:t>
      </w:r>
      <w:r w:rsidRPr="00D840F7">
        <w:rPr>
          <w:rFonts w:asciiTheme="minorHAnsi" w:hAnsiTheme="minorHAnsi"/>
          <w:sz w:val="26"/>
          <w:szCs w:val="26"/>
        </w:rPr>
        <w:t xml:space="preserve"> con la quale è stato richiesto alla locale Questura di comunicare i dati necessari al fine di poter avviare l’iter procedimentale;</w:t>
      </w:r>
    </w:p>
    <w:p w:rsidR="00B2500E" w:rsidRPr="00D840F7" w:rsidRDefault="00B2500E" w:rsidP="00D840F7">
      <w:pPr>
        <w:spacing w:after="120"/>
        <w:jc w:val="both"/>
        <w:rPr>
          <w:rFonts w:asciiTheme="minorHAnsi" w:hAnsiTheme="minorHAnsi"/>
          <w:sz w:val="26"/>
          <w:szCs w:val="26"/>
        </w:rPr>
      </w:pPr>
      <w:r w:rsidRPr="00D840F7">
        <w:rPr>
          <w:rFonts w:asciiTheme="minorHAnsi" w:hAnsiTheme="minorHAnsi"/>
          <w:b/>
          <w:sz w:val="26"/>
          <w:szCs w:val="26"/>
        </w:rPr>
        <w:t>PRESO ATTO</w:t>
      </w:r>
      <w:r w:rsidRPr="00D840F7">
        <w:rPr>
          <w:rFonts w:asciiTheme="minorHAnsi" w:hAnsiTheme="minorHAnsi"/>
          <w:sz w:val="26"/>
          <w:szCs w:val="26"/>
        </w:rPr>
        <w:t xml:space="preserve"> della nota prot. </w:t>
      </w:r>
      <w:r w:rsidR="00841764">
        <w:rPr>
          <w:rFonts w:asciiTheme="minorHAnsi" w:hAnsiTheme="minorHAnsi"/>
          <w:sz w:val="26"/>
          <w:szCs w:val="26"/>
        </w:rPr>
        <w:t>52839</w:t>
      </w:r>
      <w:r w:rsidRPr="00D840F7">
        <w:rPr>
          <w:rFonts w:asciiTheme="minorHAnsi" w:hAnsiTheme="minorHAnsi"/>
          <w:sz w:val="26"/>
          <w:szCs w:val="26"/>
        </w:rPr>
        <w:t xml:space="preserve"> del </w:t>
      </w:r>
      <w:r w:rsidR="00841764">
        <w:rPr>
          <w:rFonts w:asciiTheme="minorHAnsi" w:hAnsiTheme="minorHAnsi"/>
          <w:sz w:val="26"/>
          <w:szCs w:val="26"/>
        </w:rPr>
        <w:t xml:space="preserve">7 novembre </w:t>
      </w:r>
      <w:r w:rsidRPr="00D840F7">
        <w:rPr>
          <w:rFonts w:asciiTheme="minorHAnsi" w:hAnsiTheme="minorHAnsi"/>
          <w:sz w:val="26"/>
          <w:szCs w:val="26"/>
        </w:rPr>
        <w:t>202</w:t>
      </w:r>
      <w:r w:rsidR="00841764">
        <w:rPr>
          <w:rFonts w:asciiTheme="minorHAnsi" w:hAnsiTheme="minorHAnsi"/>
          <w:sz w:val="26"/>
          <w:szCs w:val="26"/>
        </w:rPr>
        <w:t>2</w:t>
      </w:r>
      <w:r w:rsidRPr="00D840F7">
        <w:rPr>
          <w:rFonts w:asciiTheme="minorHAnsi" w:hAnsiTheme="minorHAnsi"/>
          <w:sz w:val="26"/>
          <w:szCs w:val="26"/>
        </w:rPr>
        <w:t xml:space="preserve"> con la quale la locale Questura ha comunicato i dati;</w:t>
      </w:r>
    </w:p>
    <w:p w:rsidR="00B2500E" w:rsidRPr="00D840F7" w:rsidRDefault="00B2500E" w:rsidP="00D840F7">
      <w:pPr>
        <w:tabs>
          <w:tab w:val="left" w:pos="3090"/>
          <w:tab w:val="center" w:pos="47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eastAsia="Microsoft JhengHei" w:hAnsiTheme="minorHAnsi" w:cs="Browallia New"/>
          <w:b/>
          <w:bCs/>
          <w:color w:val="000000"/>
          <w:sz w:val="26"/>
          <w:szCs w:val="26"/>
          <w:lang w:eastAsia="ja-JP"/>
        </w:rPr>
      </w:pPr>
      <w:r w:rsidRPr="00D840F7">
        <w:rPr>
          <w:rFonts w:asciiTheme="minorHAnsi" w:hAnsiTheme="minorHAnsi"/>
          <w:b/>
          <w:sz w:val="26"/>
          <w:szCs w:val="26"/>
        </w:rPr>
        <w:t>VISTA</w:t>
      </w:r>
      <w:r w:rsidRPr="00D840F7">
        <w:rPr>
          <w:rFonts w:asciiTheme="minorHAnsi" w:hAnsiTheme="minorHAnsi"/>
          <w:sz w:val="26"/>
          <w:szCs w:val="26"/>
        </w:rPr>
        <w:t xml:space="preserve"> la richiesta di offerta (RDO) n. </w:t>
      </w:r>
      <w:r w:rsidR="00841764">
        <w:rPr>
          <w:rFonts w:asciiTheme="minorHAnsi" w:hAnsiTheme="minorHAnsi"/>
          <w:sz w:val="26"/>
          <w:szCs w:val="26"/>
        </w:rPr>
        <w:t>3306250</w:t>
      </w:r>
      <w:r w:rsidRPr="00D840F7">
        <w:rPr>
          <w:rFonts w:asciiTheme="minorHAnsi" w:hAnsiTheme="minorHAnsi"/>
          <w:sz w:val="26"/>
          <w:szCs w:val="26"/>
        </w:rPr>
        <w:t xml:space="preserve">, pubblicata sulla piattaforma MEPA, giusta determina prot. </w:t>
      </w:r>
      <w:r w:rsidR="00841764">
        <w:rPr>
          <w:rFonts w:asciiTheme="minorHAnsi" w:hAnsiTheme="minorHAnsi"/>
          <w:sz w:val="26"/>
          <w:szCs w:val="26"/>
        </w:rPr>
        <w:t>77449</w:t>
      </w:r>
      <w:r w:rsidRPr="00D840F7">
        <w:rPr>
          <w:rFonts w:asciiTheme="minorHAnsi" w:hAnsiTheme="minorHAnsi"/>
          <w:sz w:val="26"/>
          <w:szCs w:val="26"/>
        </w:rPr>
        <w:t xml:space="preserve"> del </w:t>
      </w:r>
      <w:r w:rsidR="00841764">
        <w:rPr>
          <w:rFonts w:asciiTheme="minorHAnsi" w:hAnsiTheme="minorHAnsi"/>
          <w:sz w:val="26"/>
          <w:szCs w:val="26"/>
        </w:rPr>
        <w:t>7</w:t>
      </w:r>
      <w:r w:rsidRPr="00D840F7">
        <w:rPr>
          <w:rFonts w:asciiTheme="minorHAnsi" w:hAnsiTheme="minorHAnsi"/>
          <w:sz w:val="26"/>
          <w:szCs w:val="26"/>
        </w:rPr>
        <w:t>.1</w:t>
      </w:r>
      <w:r w:rsidR="00841764">
        <w:rPr>
          <w:rFonts w:asciiTheme="minorHAnsi" w:hAnsiTheme="minorHAnsi"/>
          <w:sz w:val="26"/>
          <w:szCs w:val="26"/>
        </w:rPr>
        <w:t>1</w:t>
      </w:r>
      <w:r w:rsidRPr="00D840F7">
        <w:rPr>
          <w:rFonts w:asciiTheme="minorHAnsi" w:hAnsiTheme="minorHAnsi"/>
          <w:sz w:val="26"/>
          <w:szCs w:val="26"/>
        </w:rPr>
        <w:t>.202</w:t>
      </w:r>
      <w:r w:rsidR="00841764">
        <w:rPr>
          <w:rFonts w:asciiTheme="minorHAnsi" w:hAnsiTheme="minorHAnsi"/>
          <w:sz w:val="26"/>
          <w:szCs w:val="26"/>
        </w:rPr>
        <w:t>2</w:t>
      </w:r>
      <w:r w:rsidRPr="00D840F7">
        <w:rPr>
          <w:rFonts w:asciiTheme="minorHAnsi" w:hAnsiTheme="minorHAnsi"/>
          <w:sz w:val="26"/>
          <w:szCs w:val="26"/>
        </w:rPr>
        <w:t xml:space="preserve"> di indizione della procedura di gara ex art. 32 del d.lgs. 18 aprile 2016, n. 50 - </w:t>
      </w:r>
      <w:r w:rsidRPr="00D840F7">
        <w:rPr>
          <w:rFonts w:asciiTheme="minorHAnsi" w:eastAsia="Microsoft JhengHei" w:hAnsiTheme="minorHAnsi" w:cs="Browallia New"/>
          <w:b/>
          <w:sz w:val="26"/>
          <w:szCs w:val="26"/>
          <w:lang w:eastAsia="ja-JP"/>
        </w:rPr>
        <w:t xml:space="preserve"> Numero CIG: </w:t>
      </w:r>
      <w:r w:rsidRPr="00D840F7">
        <w:rPr>
          <w:rFonts w:asciiTheme="minorHAnsi" w:eastAsia="Microsoft JhengHei" w:hAnsiTheme="minorHAnsi" w:cs="Browallia New"/>
          <w:b/>
          <w:bCs/>
          <w:color w:val="000000"/>
          <w:sz w:val="26"/>
          <w:szCs w:val="26"/>
          <w:lang w:eastAsia="ja-JP"/>
        </w:rPr>
        <w:t>[</w:t>
      </w:r>
      <w:r w:rsidR="00841764">
        <w:rPr>
          <w:rFonts w:asciiTheme="minorHAnsi" w:eastAsia="Microsoft JhengHei" w:hAnsiTheme="minorHAnsi" w:cs="Browallia New"/>
          <w:b/>
          <w:bCs/>
          <w:color w:val="000000"/>
          <w:sz w:val="26"/>
          <w:szCs w:val="26"/>
          <w:lang w:eastAsia="ja-JP"/>
        </w:rPr>
        <w:t>9485746D38</w:t>
      </w:r>
      <w:r w:rsidRPr="00D840F7">
        <w:rPr>
          <w:rFonts w:asciiTheme="minorHAnsi" w:eastAsia="Microsoft JhengHei" w:hAnsiTheme="minorHAnsi" w:cs="Browallia New"/>
          <w:b/>
          <w:bCs/>
          <w:color w:val="000000"/>
          <w:sz w:val="26"/>
          <w:szCs w:val="26"/>
          <w:lang w:eastAsia="ja-JP"/>
        </w:rPr>
        <w:t>]</w:t>
      </w:r>
    </w:p>
    <w:p w:rsidR="00B2500E" w:rsidRPr="00D840F7" w:rsidRDefault="00B2500E" w:rsidP="00D840F7">
      <w:pPr>
        <w:widowControl w:val="0"/>
        <w:spacing w:after="120"/>
        <w:jc w:val="both"/>
        <w:rPr>
          <w:rFonts w:asciiTheme="minorHAnsi" w:hAnsiTheme="minorHAnsi"/>
          <w:sz w:val="26"/>
          <w:szCs w:val="26"/>
        </w:rPr>
      </w:pPr>
      <w:r w:rsidRPr="00D840F7">
        <w:rPr>
          <w:rFonts w:asciiTheme="minorHAnsi" w:hAnsiTheme="minorHAnsi"/>
          <w:b/>
          <w:sz w:val="26"/>
          <w:szCs w:val="26"/>
        </w:rPr>
        <w:t xml:space="preserve">RILEVATO </w:t>
      </w:r>
      <w:r w:rsidRPr="00D840F7">
        <w:rPr>
          <w:rFonts w:asciiTheme="minorHAnsi" w:hAnsiTheme="minorHAnsi"/>
          <w:sz w:val="26"/>
          <w:szCs w:val="26"/>
        </w:rPr>
        <w:t>che, nel termine di scadenza  previsto dalla citata RDO sono pervenute tre offerte;</w:t>
      </w:r>
    </w:p>
    <w:p w:rsidR="0001179C" w:rsidRPr="00D840F7" w:rsidRDefault="00007262" w:rsidP="00D840F7">
      <w:pPr>
        <w:widowControl w:val="0"/>
        <w:spacing w:after="120"/>
        <w:jc w:val="both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>RILEVATO</w:t>
      </w:r>
      <w:r w:rsidR="0001179C"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 xml:space="preserve"> </w:t>
      </w:r>
      <w:r w:rsidR="0001179C"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 xml:space="preserve">che in data </w:t>
      </w:r>
      <w:r w:rsidR="00841764">
        <w:rPr>
          <w:rFonts w:asciiTheme="minorHAnsi" w:eastAsiaTheme="minorHAnsi" w:hAnsiTheme="minorHAnsi" w:cs="Browallia New"/>
          <w:sz w:val="26"/>
          <w:szCs w:val="26"/>
          <w:lang w:eastAsia="en-US"/>
        </w:rPr>
        <w:t>12/12/2022</w:t>
      </w:r>
      <w:r w:rsidR="0001179C"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 xml:space="preserve"> il sottoscritto RUP ha proceduto in seduta pubblica all’esame della documentazione amministrativa;</w:t>
      </w:r>
    </w:p>
    <w:p w:rsidR="0001179C" w:rsidRPr="00D840F7" w:rsidRDefault="00007262" w:rsidP="00D840F7">
      <w:pPr>
        <w:widowControl w:val="0"/>
        <w:spacing w:after="120"/>
        <w:jc w:val="both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>VERIFICATA</w:t>
      </w:r>
      <w:r w:rsidR="0001179C"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 xml:space="preserve"> </w:t>
      </w:r>
      <w:r w:rsidR="0001179C"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>la completezza della documentazione presentata e la rispondenza a quanto prescritto nella richiesta di offerta e preso atto che si sta procedendo al controllo dei requisiti di cui all’art. 80 del codice dei contratti sulla piattaforma ANAC- AVCpass;</w:t>
      </w:r>
    </w:p>
    <w:p w:rsidR="0001179C" w:rsidRDefault="0001179C" w:rsidP="00D840F7">
      <w:pPr>
        <w:widowControl w:val="0"/>
        <w:spacing w:after="120"/>
        <w:jc w:val="both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 xml:space="preserve"> </w:t>
      </w:r>
      <w:r w:rsidR="00007262"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>VISTO</w:t>
      </w:r>
      <w:r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 xml:space="preserve"> l</w:t>
      </w: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>’art. 29, comma 1 del Codice dei contratti (d.lgs. n. 50/2016);</w:t>
      </w:r>
    </w:p>
    <w:p w:rsidR="0001179C" w:rsidRPr="00D840F7" w:rsidRDefault="0001179C" w:rsidP="00D840F7">
      <w:pPr>
        <w:widowControl w:val="0"/>
        <w:spacing w:after="120"/>
        <w:jc w:val="center"/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b/>
          <w:sz w:val="26"/>
          <w:szCs w:val="26"/>
          <w:lang w:eastAsia="en-US"/>
        </w:rPr>
        <w:t>DISPONE</w:t>
      </w:r>
    </w:p>
    <w:p w:rsidR="0001179C" w:rsidRPr="00D840F7" w:rsidRDefault="0001179C" w:rsidP="00D840F7">
      <w:pPr>
        <w:spacing w:after="120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>per i motivi indicati in premessa, l’ammissione dei seguenti operatori economici: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5"/>
        <w:gridCol w:w="2414"/>
        <w:gridCol w:w="4495"/>
        <w:gridCol w:w="2520"/>
      </w:tblGrid>
      <w:tr w:rsidR="0001179C" w:rsidRPr="00D840F7" w:rsidTr="009F367F"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center"/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  <w:t>n.</w:t>
            </w:r>
          </w:p>
        </w:tc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center"/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  <w:t>ditta</w:t>
            </w:r>
          </w:p>
        </w:tc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center"/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  <w:t>sede legale</w:t>
            </w:r>
          </w:p>
        </w:tc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center"/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b/>
                <w:sz w:val="26"/>
                <w:szCs w:val="26"/>
                <w:lang w:eastAsia="en-US"/>
              </w:rPr>
              <w:t>codice fiscale</w:t>
            </w:r>
          </w:p>
        </w:tc>
      </w:tr>
      <w:tr w:rsidR="0001179C" w:rsidRPr="00D840F7" w:rsidTr="009F367F"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</w:tcPr>
          <w:p w:rsidR="0001179C" w:rsidRPr="00D840F7" w:rsidRDefault="00007262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AMELI EROS</w:t>
            </w:r>
          </w:p>
        </w:tc>
        <w:tc>
          <w:tcPr>
            <w:tcW w:w="0" w:type="auto"/>
          </w:tcPr>
          <w:p w:rsidR="0001179C" w:rsidRPr="00D840F7" w:rsidRDefault="00007262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Contrada S. Michele</w:t>
            </w:r>
            <w:r w:rsidR="0085336E"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,</w:t>
            </w: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 xml:space="preserve"> 14 - CUPRAMARITTIMA</w:t>
            </w:r>
          </w:p>
        </w:tc>
        <w:tc>
          <w:tcPr>
            <w:tcW w:w="0" w:type="auto"/>
          </w:tcPr>
          <w:p w:rsidR="0001179C" w:rsidRPr="00D840F7" w:rsidRDefault="00007262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MLARSE85T16H769M</w:t>
            </w:r>
          </w:p>
        </w:tc>
      </w:tr>
      <w:tr w:rsidR="0001179C" w:rsidRPr="00D840F7" w:rsidTr="009F367F"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</w:tcPr>
          <w:p w:rsidR="0001179C" w:rsidRPr="00D840F7" w:rsidRDefault="0085336E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SIRMI SRL</w:t>
            </w:r>
          </w:p>
        </w:tc>
        <w:tc>
          <w:tcPr>
            <w:tcW w:w="0" w:type="auto"/>
          </w:tcPr>
          <w:p w:rsidR="0001179C" w:rsidRPr="00D840F7" w:rsidRDefault="0085336E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Via Bossolasco,11 - ROMA</w:t>
            </w:r>
          </w:p>
        </w:tc>
        <w:tc>
          <w:tcPr>
            <w:tcW w:w="0" w:type="auto"/>
          </w:tcPr>
          <w:p w:rsidR="0001179C" w:rsidRPr="00D840F7" w:rsidRDefault="0085336E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01239460585</w:t>
            </w:r>
          </w:p>
        </w:tc>
      </w:tr>
      <w:tr w:rsidR="0001179C" w:rsidRPr="00D840F7" w:rsidTr="009F367F">
        <w:tc>
          <w:tcPr>
            <w:tcW w:w="0" w:type="auto"/>
          </w:tcPr>
          <w:p w:rsidR="0001179C" w:rsidRPr="00D840F7" w:rsidRDefault="0001179C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01179C" w:rsidRPr="00D840F7" w:rsidRDefault="0085336E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NUOVA ELETTRICA SRL</w:t>
            </w:r>
          </w:p>
        </w:tc>
        <w:tc>
          <w:tcPr>
            <w:tcW w:w="0" w:type="auto"/>
          </w:tcPr>
          <w:p w:rsidR="0001179C" w:rsidRPr="00D840F7" w:rsidRDefault="0085336E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Via Iseo, 15 – SAN DONA’ DI PIAVE</w:t>
            </w:r>
          </w:p>
        </w:tc>
        <w:tc>
          <w:tcPr>
            <w:tcW w:w="0" w:type="auto"/>
          </w:tcPr>
          <w:p w:rsidR="0001179C" w:rsidRPr="00D840F7" w:rsidRDefault="0085336E" w:rsidP="00D840F7">
            <w:pPr>
              <w:spacing w:after="120"/>
              <w:jc w:val="both"/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</w:pPr>
            <w:r w:rsidRPr="00D840F7">
              <w:rPr>
                <w:rFonts w:asciiTheme="minorHAnsi" w:eastAsiaTheme="minorHAnsi" w:hAnsiTheme="minorHAnsi" w:cs="Browallia New"/>
                <w:sz w:val="26"/>
                <w:szCs w:val="26"/>
                <w:lang w:eastAsia="en-US"/>
              </w:rPr>
              <w:t>03247150273</w:t>
            </w:r>
          </w:p>
        </w:tc>
      </w:tr>
    </w:tbl>
    <w:p w:rsidR="0085336E" w:rsidRPr="00D840F7" w:rsidRDefault="0085336E" w:rsidP="00D840F7">
      <w:pPr>
        <w:widowControl w:val="0"/>
        <w:spacing w:after="120"/>
        <w:jc w:val="both"/>
        <w:rPr>
          <w:rFonts w:asciiTheme="minorHAnsi" w:eastAsiaTheme="minorHAnsi" w:hAnsiTheme="minorHAnsi" w:cs="Browallia New"/>
          <w:sz w:val="26"/>
          <w:szCs w:val="26"/>
          <w:lang w:eastAsia="en-US"/>
        </w:rPr>
      </w:pPr>
    </w:p>
    <w:p w:rsidR="0001179C" w:rsidRPr="00D840F7" w:rsidRDefault="0001179C" w:rsidP="00D840F7">
      <w:pPr>
        <w:widowControl w:val="0"/>
        <w:spacing w:after="120"/>
        <w:jc w:val="both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 xml:space="preserve">Il presente decreto verrà pubblicato nella sezione amministrazione trasparente di questa Prefettura ai sensi dell’art. 29 del Codice. </w:t>
      </w:r>
      <w:r w:rsidRPr="00D840F7">
        <w:rPr>
          <w:rFonts w:asciiTheme="minorHAnsi" w:eastAsiaTheme="minorHAnsi" w:hAnsiTheme="minorHAnsi" w:cstheme="minorBidi"/>
          <w:bCs/>
          <w:iCs/>
          <w:sz w:val="26"/>
          <w:szCs w:val="26"/>
          <w:lang w:eastAsia="en-US"/>
        </w:rPr>
        <w:t>Avverso il presente provvedimento è ammesso ricorso al Tribunale Amministrativo delle Marche, nel termine di 30 giorni decorrente dalla data della sua pubblicazione sul profilo del committente della Prefettura, ai sensi dell’art. 120, comma 2 bis del d.lgs. 2 luglio 2010, n. 104.</w:t>
      </w:r>
      <w:r w:rsidR="00742209" w:rsidRPr="00D840F7">
        <w:rPr>
          <w:rFonts w:asciiTheme="minorHAnsi" w:eastAsiaTheme="minorHAnsi" w:hAnsiTheme="minorHAnsi" w:cstheme="minorBidi"/>
          <w:bCs/>
          <w:iCs/>
          <w:sz w:val="26"/>
          <w:szCs w:val="26"/>
          <w:lang w:eastAsia="en-US"/>
        </w:rPr>
        <w:t xml:space="preserve"> SI trasmette alla commissione nominata con provv.</w:t>
      </w:r>
      <w:r w:rsidR="0085336E" w:rsidRPr="00D840F7">
        <w:rPr>
          <w:rFonts w:asciiTheme="minorHAnsi" w:eastAsiaTheme="minorHAnsi" w:hAnsiTheme="minorHAnsi" w:cstheme="minorBidi"/>
          <w:bCs/>
          <w:iCs/>
          <w:sz w:val="26"/>
          <w:szCs w:val="26"/>
          <w:lang w:eastAsia="en-US"/>
        </w:rPr>
        <w:t>14914</w:t>
      </w:r>
      <w:r w:rsidR="00742209" w:rsidRPr="00D840F7">
        <w:rPr>
          <w:rFonts w:asciiTheme="minorHAnsi" w:eastAsiaTheme="minorHAnsi" w:hAnsiTheme="minorHAnsi" w:cstheme="minorBidi"/>
          <w:bCs/>
          <w:iCs/>
          <w:sz w:val="26"/>
          <w:szCs w:val="26"/>
          <w:lang w:eastAsia="en-US"/>
        </w:rPr>
        <w:t>/2021.</w:t>
      </w:r>
    </w:p>
    <w:p w:rsidR="0035330F" w:rsidRPr="00D840F7" w:rsidRDefault="0001179C" w:rsidP="00D840F7">
      <w:pPr>
        <w:widowControl w:val="0"/>
        <w:spacing w:after="120"/>
        <w:ind w:firstLine="365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 xml:space="preserve">                                                       </w:t>
      </w: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ab/>
      </w: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ab/>
      </w:r>
    </w:p>
    <w:p w:rsidR="0001179C" w:rsidRPr="00D840F7" w:rsidRDefault="0001179C" w:rsidP="00D840F7">
      <w:pPr>
        <w:widowControl w:val="0"/>
        <w:spacing w:after="120"/>
        <w:ind w:firstLine="365"/>
        <w:jc w:val="center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>IL RUP</w:t>
      </w:r>
    </w:p>
    <w:p w:rsidR="0001179C" w:rsidRPr="00D840F7" w:rsidRDefault="00D840F7" w:rsidP="00D840F7">
      <w:pPr>
        <w:widowControl w:val="0"/>
        <w:spacing w:after="120"/>
        <w:ind w:firstLine="365"/>
        <w:jc w:val="center"/>
        <w:rPr>
          <w:rFonts w:asciiTheme="minorHAnsi" w:eastAsiaTheme="minorHAnsi" w:hAnsiTheme="minorHAnsi" w:cs="Browallia New"/>
          <w:sz w:val="26"/>
          <w:szCs w:val="26"/>
          <w:lang w:eastAsia="en-US"/>
        </w:rPr>
      </w:pPr>
      <w:r w:rsidRPr="00D840F7">
        <w:rPr>
          <w:rFonts w:asciiTheme="minorHAnsi" w:eastAsiaTheme="minorHAnsi" w:hAnsiTheme="minorHAnsi" w:cs="Browallia New"/>
          <w:sz w:val="26"/>
          <w:szCs w:val="26"/>
          <w:lang w:eastAsia="en-US"/>
        </w:rPr>
        <w:t>(Senesi)</w:t>
      </w:r>
    </w:p>
    <w:p w:rsidR="00A56884" w:rsidRPr="002C11CB" w:rsidRDefault="002C11CB" w:rsidP="002C11CB">
      <w:pPr>
        <w:tabs>
          <w:tab w:val="center" w:pos="48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6"/>
          <w:szCs w:val="26"/>
        </w:rPr>
        <w:t xml:space="preserve">   </w:t>
      </w:r>
      <w:r>
        <w:rPr>
          <w:rFonts w:asciiTheme="minorHAnsi" w:hAnsiTheme="minorHAnsi"/>
          <w:sz w:val="26"/>
          <w:szCs w:val="26"/>
        </w:rPr>
        <w:tab/>
        <w:t xml:space="preserve">          </w:t>
      </w:r>
      <w:r w:rsidRPr="002C11CB">
        <w:rPr>
          <w:rFonts w:asciiTheme="minorHAnsi" w:hAnsiTheme="minorHAnsi"/>
          <w:sz w:val="22"/>
          <w:szCs w:val="22"/>
        </w:rPr>
        <w:t>originale firmato agli atti</w:t>
      </w:r>
    </w:p>
    <w:p w:rsidR="00D17905" w:rsidRDefault="00D17905" w:rsidP="00D17905">
      <w:pPr>
        <w:rPr>
          <w:rFonts w:ascii="Courier New" w:hAnsi="Courier New"/>
        </w:rPr>
      </w:pPr>
    </w:p>
    <w:p w:rsidR="00B2500E" w:rsidRPr="00B2500E" w:rsidRDefault="00B2500E" w:rsidP="00B2500E">
      <w:pPr>
        <w:tabs>
          <w:tab w:val="left" w:pos="3090"/>
          <w:tab w:val="center" w:pos="4728"/>
        </w:tabs>
        <w:overflowPunct w:val="0"/>
        <w:autoSpaceDE w:val="0"/>
        <w:autoSpaceDN w:val="0"/>
        <w:adjustRightInd w:val="0"/>
        <w:textAlignment w:val="baseline"/>
        <w:rPr>
          <w:rFonts w:ascii="Browallia New" w:eastAsia="Microsoft JhengHei" w:hAnsi="Browallia New" w:cs="Browallia New"/>
          <w:b/>
          <w:lang w:eastAsia="ja-JP"/>
        </w:rPr>
      </w:pPr>
    </w:p>
    <w:p w:rsidR="008A6052" w:rsidRDefault="008A6052" w:rsidP="008A6052">
      <w:pPr>
        <w:jc w:val="right"/>
      </w:pPr>
    </w:p>
    <w:p w:rsidR="00883DA4" w:rsidRDefault="00883DA4" w:rsidP="008A6052">
      <w:pPr>
        <w:jc w:val="right"/>
      </w:pPr>
    </w:p>
    <w:p w:rsidR="00883DA4" w:rsidRDefault="00883DA4" w:rsidP="008A6052">
      <w:pPr>
        <w:jc w:val="right"/>
      </w:pPr>
    </w:p>
    <w:p w:rsidR="00883DA4" w:rsidRPr="00883DA4" w:rsidRDefault="00883DA4" w:rsidP="00883DA4">
      <w:pPr>
        <w:jc w:val="right"/>
        <w:rPr>
          <w:rFonts w:ascii="Verdana" w:hAnsi="Verdana"/>
          <w:color w:val="333333"/>
          <w:sz w:val="22"/>
          <w:szCs w:val="22"/>
        </w:rPr>
      </w:pPr>
      <w:r w:rsidRPr="00883DA4">
        <w:rPr>
          <w:rFonts w:ascii="Verdana" w:hAnsi="Verdana"/>
          <w:color w:val="333333"/>
          <w:sz w:val="22"/>
          <w:szCs w:val="22"/>
        </w:rPr>
        <w:br/>
      </w:r>
    </w:p>
    <w:p w:rsidR="00883DA4" w:rsidRDefault="00883DA4" w:rsidP="008A6052">
      <w:pPr>
        <w:jc w:val="right"/>
      </w:pPr>
    </w:p>
    <w:sectPr w:rsidR="00883DA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0B" w:rsidRDefault="00404F0B" w:rsidP="004A002C">
      <w:r>
        <w:separator/>
      </w:r>
    </w:p>
  </w:endnote>
  <w:endnote w:type="continuationSeparator" w:id="0">
    <w:p w:rsidR="00404F0B" w:rsidRDefault="00404F0B" w:rsidP="004A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902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8A797C" w:rsidRDefault="008A797C" w:rsidP="004A002C">
        <w:pPr>
          <w:pStyle w:val="Pidipagina"/>
          <w:jc w:val="center"/>
          <w:rPr>
            <w:i/>
            <w:iCs/>
            <w:color w:val="000000"/>
            <w:sz w:val="16"/>
            <w:szCs w:val="16"/>
          </w:rPr>
        </w:pPr>
        <w:r>
          <w:rPr>
            <w:i/>
            <w:iCs/>
            <w:color w:val="000000"/>
            <w:sz w:val="16"/>
            <w:szCs w:val="16"/>
          </w:rPr>
          <w:t>Piazza Simonetti, 36 - 63100 Ascoli Piceno</w:t>
        </w:r>
      </w:p>
      <w:p w:rsidR="008A797C" w:rsidRPr="0028740E" w:rsidRDefault="008A797C" w:rsidP="004A002C">
        <w:pPr>
          <w:autoSpaceDE w:val="0"/>
          <w:autoSpaceDN w:val="0"/>
          <w:adjustRightInd w:val="0"/>
          <w:jc w:val="center"/>
          <w:rPr>
            <w:color w:val="000000"/>
            <w:sz w:val="16"/>
            <w:szCs w:val="16"/>
          </w:rPr>
        </w:pPr>
        <w:r w:rsidRPr="0028740E">
          <w:rPr>
            <w:i/>
            <w:iCs/>
            <w:color w:val="000000"/>
            <w:sz w:val="16"/>
            <w:szCs w:val="16"/>
          </w:rPr>
          <w:t xml:space="preserve">tel. (039) </w:t>
        </w:r>
        <w:r>
          <w:rPr>
            <w:i/>
            <w:iCs/>
            <w:color w:val="000000"/>
            <w:sz w:val="16"/>
            <w:szCs w:val="16"/>
          </w:rPr>
          <w:t>07362911 -</w:t>
        </w:r>
        <w:r w:rsidR="00B2500E">
          <w:rPr>
            <w:i/>
            <w:iCs/>
            <w:color w:val="000000"/>
            <w:sz w:val="16"/>
            <w:szCs w:val="16"/>
          </w:rPr>
          <w:t xml:space="preserve"> w</w:t>
        </w:r>
        <w:r>
          <w:rPr>
            <w:i/>
            <w:iCs/>
            <w:color w:val="000000"/>
            <w:sz w:val="16"/>
            <w:szCs w:val="16"/>
          </w:rPr>
          <w:t>ww.prefettura.it/ascolipiceno - protocollo.prefap</w:t>
        </w:r>
        <w:r w:rsidRPr="0028740E">
          <w:rPr>
            <w:i/>
            <w:iCs/>
            <w:color w:val="000000"/>
            <w:sz w:val="16"/>
            <w:szCs w:val="16"/>
          </w:rPr>
          <w:t>@pec.interno.it</w:t>
        </w:r>
      </w:p>
      <w:p w:rsidR="008A797C" w:rsidRPr="004A002C" w:rsidRDefault="008A797C">
        <w:pPr>
          <w:pStyle w:val="Pidipagina"/>
          <w:jc w:val="right"/>
          <w:rPr>
            <w:rFonts w:asciiTheme="minorHAnsi" w:hAnsiTheme="minorHAnsi"/>
            <w:sz w:val="18"/>
            <w:szCs w:val="18"/>
          </w:rPr>
        </w:pPr>
        <w:r w:rsidRPr="004A002C">
          <w:rPr>
            <w:rFonts w:asciiTheme="minorHAnsi" w:hAnsiTheme="minorHAnsi"/>
            <w:sz w:val="18"/>
            <w:szCs w:val="18"/>
          </w:rPr>
          <w:fldChar w:fldCharType="begin"/>
        </w:r>
        <w:r w:rsidRPr="004A002C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4A002C">
          <w:rPr>
            <w:rFonts w:asciiTheme="minorHAnsi" w:hAnsiTheme="minorHAnsi"/>
            <w:sz w:val="18"/>
            <w:szCs w:val="18"/>
          </w:rPr>
          <w:fldChar w:fldCharType="separate"/>
        </w:r>
        <w:r w:rsidR="00A016F7">
          <w:rPr>
            <w:rFonts w:asciiTheme="minorHAnsi" w:hAnsiTheme="minorHAnsi"/>
            <w:noProof/>
            <w:sz w:val="18"/>
            <w:szCs w:val="18"/>
          </w:rPr>
          <w:t>2</w:t>
        </w:r>
        <w:r w:rsidRPr="004A002C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8A797C" w:rsidRDefault="008A79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0B" w:rsidRDefault="00404F0B" w:rsidP="004A002C">
      <w:r>
        <w:separator/>
      </w:r>
    </w:p>
  </w:footnote>
  <w:footnote w:type="continuationSeparator" w:id="0">
    <w:p w:rsidR="00404F0B" w:rsidRDefault="00404F0B" w:rsidP="004A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7C" w:rsidRPr="00C613C4" w:rsidRDefault="008A797C" w:rsidP="004A002C">
    <w:pPr>
      <w:jc w:val="center"/>
    </w:pPr>
    <w:r>
      <w:rPr>
        <w:noProof/>
      </w:rPr>
      <w:drawing>
        <wp:inline distT="0" distB="0" distL="0" distR="0" wp14:anchorId="174DF921" wp14:editId="255B1EBD">
          <wp:extent cx="609600" cy="640080"/>
          <wp:effectExtent l="0" t="0" r="0" b="762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797C" w:rsidRPr="008B642E" w:rsidRDefault="008A797C" w:rsidP="004A002C">
    <w:pPr>
      <w:jc w:val="center"/>
      <w:rPr>
        <w:rFonts w:ascii="Palace Script MT" w:hAnsi="Palace Script MT"/>
        <w:sz w:val="88"/>
        <w:szCs w:val="88"/>
      </w:rPr>
    </w:pPr>
    <w:r>
      <w:rPr>
        <w:rFonts w:ascii="Palace Script MT" w:hAnsi="Palace Script MT"/>
        <w:sz w:val="88"/>
        <w:szCs w:val="88"/>
      </w:rPr>
      <w:t>Prefettura di Ascoli Piceno</w:t>
    </w:r>
  </w:p>
  <w:p w:rsidR="008A797C" w:rsidRDefault="008A797C" w:rsidP="004A002C">
    <w:pPr>
      <w:tabs>
        <w:tab w:val="center" w:pos="4819"/>
        <w:tab w:val="right" w:pos="9638"/>
      </w:tabs>
      <w:jc w:val="center"/>
      <w:rPr>
        <w:sz w:val="16"/>
        <w:szCs w:val="16"/>
      </w:rPr>
    </w:pPr>
    <w:r w:rsidRPr="00C613C4">
      <w:rPr>
        <w:sz w:val="16"/>
        <w:szCs w:val="16"/>
      </w:rPr>
      <w:t>Ufficio Territoriale del Governo</w:t>
    </w:r>
  </w:p>
  <w:p w:rsidR="008A797C" w:rsidRPr="00CF790F" w:rsidRDefault="008A797C" w:rsidP="00CF790F">
    <w:pPr>
      <w:jc w:val="center"/>
      <w:rPr>
        <w:rFonts w:ascii="Palace Script MT" w:hAnsi="Palace Script MT"/>
        <w:sz w:val="60"/>
        <w:szCs w:val="60"/>
      </w:rPr>
    </w:pPr>
    <w:r w:rsidRPr="00CF790F">
      <w:rPr>
        <w:rFonts w:ascii="Palace Script MT" w:hAnsi="Palace Script MT"/>
        <w:sz w:val="60"/>
        <w:szCs w:val="60"/>
      </w:rPr>
      <w:t>Servizio contabilità e gestione finanziaria</w:t>
    </w:r>
  </w:p>
  <w:p w:rsidR="008A797C" w:rsidRDefault="008A79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0E5"/>
    <w:multiLevelType w:val="hybridMultilevel"/>
    <w:tmpl w:val="37A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095B"/>
    <w:multiLevelType w:val="hybridMultilevel"/>
    <w:tmpl w:val="303CE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1B08"/>
    <w:multiLevelType w:val="hybridMultilevel"/>
    <w:tmpl w:val="8F0E9D04"/>
    <w:lvl w:ilvl="0" w:tplc="255A64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06D1"/>
    <w:multiLevelType w:val="hybridMultilevel"/>
    <w:tmpl w:val="5B8EE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FF"/>
    <w:rsid w:val="0000162D"/>
    <w:rsid w:val="00007262"/>
    <w:rsid w:val="00007B3E"/>
    <w:rsid w:val="0001179C"/>
    <w:rsid w:val="00033801"/>
    <w:rsid w:val="00033AB1"/>
    <w:rsid w:val="00042440"/>
    <w:rsid w:val="000450D8"/>
    <w:rsid w:val="00045707"/>
    <w:rsid w:val="00056D9A"/>
    <w:rsid w:val="000659E6"/>
    <w:rsid w:val="00080E39"/>
    <w:rsid w:val="00082846"/>
    <w:rsid w:val="000A6D12"/>
    <w:rsid w:val="000B3A9E"/>
    <w:rsid w:val="000D1473"/>
    <w:rsid w:val="000E40F6"/>
    <w:rsid w:val="000F028B"/>
    <w:rsid w:val="00103D29"/>
    <w:rsid w:val="001073F6"/>
    <w:rsid w:val="00127902"/>
    <w:rsid w:val="00132300"/>
    <w:rsid w:val="001364F9"/>
    <w:rsid w:val="00137D98"/>
    <w:rsid w:val="00150BF9"/>
    <w:rsid w:val="001542FA"/>
    <w:rsid w:val="00160FDB"/>
    <w:rsid w:val="00172170"/>
    <w:rsid w:val="00173AEE"/>
    <w:rsid w:val="00186B7E"/>
    <w:rsid w:val="001A4F7E"/>
    <w:rsid w:val="001B177B"/>
    <w:rsid w:val="001C7483"/>
    <w:rsid w:val="001D0A25"/>
    <w:rsid w:val="001E4AEE"/>
    <w:rsid w:val="001F4AD7"/>
    <w:rsid w:val="0020488A"/>
    <w:rsid w:val="00225EA4"/>
    <w:rsid w:val="00271C94"/>
    <w:rsid w:val="00287BC5"/>
    <w:rsid w:val="00293A8F"/>
    <w:rsid w:val="0029446E"/>
    <w:rsid w:val="002B214E"/>
    <w:rsid w:val="002B5E7C"/>
    <w:rsid w:val="002B71E3"/>
    <w:rsid w:val="002C11CB"/>
    <w:rsid w:val="002D28A5"/>
    <w:rsid w:val="0030746C"/>
    <w:rsid w:val="00310CCA"/>
    <w:rsid w:val="00311E3A"/>
    <w:rsid w:val="00322837"/>
    <w:rsid w:val="00336CCD"/>
    <w:rsid w:val="00341146"/>
    <w:rsid w:val="0035330F"/>
    <w:rsid w:val="00363B63"/>
    <w:rsid w:val="00370D1D"/>
    <w:rsid w:val="00374045"/>
    <w:rsid w:val="00376D44"/>
    <w:rsid w:val="00380D62"/>
    <w:rsid w:val="00382EA4"/>
    <w:rsid w:val="00393C0E"/>
    <w:rsid w:val="003C016A"/>
    <w:rsid w:val="003C3FEC"/>
    <w:rsid w:val="003E4351"/>
    <w:rsid w:val="003E5651"/>
    <w:rsid w:val="00404F0B"/>
    <w:rsid w:val="00453E53"/>
    <w:rsid w:val="00457A75"/>
    <w:rsid w:val="00471A0B"/>
    <w:rsid w:val="0047624B"/>
    <w:rsid w:val="00477A04"/>
    <w:rsid w:val="004A002C"/>
    <w:rsid w:val="004A2E79"/>
    <w:rsid w:val="004A577E"/>
    <w:rsid w:val="004E1152"/>
    <w:rsid w:val="004E70EC"/>
    <w:rsid w:val="004F6005"/>
    <w:rsid w:val="005042EC"/>
    <w:rsid w:val="00506955"/>
    <w:rsid w:val="005071BD"/>
    <w:rsid w:val="005115F4"/>
    <w:rsid w:val="00515EB9"/>
    <w:rsid w:val="005167AB"/>
    <w:rsid w:val="005215DC"/>
    <w:rsid w:val="00526C9A"/>
    <w:rsid w:val="0053164F"/>
    <w:rsid w:val="005616CF"/>
    <w:rsid w:val="00563E8C"/>
    <w:rsid w:val="005864E3"/>
    <w:rsid w:val="005B0F3C"/>
    <w:rsid w:val="005B62C7"/>
    <w:rsid w:val="005C7418"/>
    <w:rsid w:val="005D0AB4"/>
    <w:rsid w:val="005D1ED2"/>
    <w:rsid w:val="005F1822"/>
    <w:rsid w:val="005F379B"/>
    <w:rsid w:val="00604FD5"/>
    <w:rsid w:val="00621C71"/>
    <w:rsid w:val="00625BFB"/>
    <w:rsid w:val="00626E0A"/>
    <w:rsid w:val="00643A33"/>
    <w:rsid w:val="006524BE"/>
    <w:rsid w:val="00657114"/>
    <w:rsid w:val="00683324"/>
    <w:rsid w:val="0069193E"/>
    <w:rsid w:val="006A33CB"/>
    <w:rsid w:val="006A5F41"/>
    <w:rsid w:val="006B282C"/>
    <w:rsid w:val="006C3BE7"/>
    <w:rsid w:val="006C599B"/>
    <w:rsid w:val="006E1E71"/>
    <w:rsid w:val="006F1B15"/>
    <w:rsid w:val="00715AE3"/>
    <w:rsid w:val="00723277"/>
    <w:rsid w:val="007318CB"/>
    <w:rsid w:val="00735558"/>
    <w:rsid w:val="00736A19"/>
    <w:rsid w:val="00742209"/>
    <w:rsid w:val="007661FC"/>
    <w:rsid w:val="00777DAD"/>
    <w:rsid w:val="007A6AC5"/>
    <w:rsid w:val="007D3A02"/>
    <w:rsid w:val="007E7DDC"/>
    <w:rsid w:val="007F3369"/>
    <w:rsid w:val="00833989"/>
    <w:rsid w:val="00837822"/>
    <w:rsid w:val="00841764"/>
    <w:rsid w:val="0085336E"/>
    <w:rsid w:val="008550A2"/>
    <w:rsid w:val="00871C57"/>
    <w:rsid w:val="00883DA4"/>
    <w:rsid w:val="00886E21"/>
    <w:rsid w:val="0089030A"/>
    <w:rsid w:val="008A6052"/>
    <w:rsid w:val="008A797C"/>
    <w:rsid w:val="008D0829"/>
    <w:rsid w:val="008D0F99"/>
    <w:rsid w:val="008D44B6"/>
    <w:rsid w:val="008E4C36"/>
    <w:rsid w:val="00900008"/>
    <w:rsid w:val="00932661"/>
    <w:rsid w:val="00940AA5"/>
    <w:rsid w:val="00940C79"/>
    <w:rsid w:val="00954200"/>
    <w:rsid w:val="00957AF6"/>
    <w:rsid w:val="00980CB3"/>
    <w:rsid w:val="00987E7B"/>
    <w:rsid w:val="00990663"/>
    <w:rsid w:val="00994B57"/>
    <w:rsid w:val="009A18BC"/>
    <w:rsid w:val="009C1565"/>
    <w:rsid w:val="009C4E1B"/>
    <w:rsid w:val="009D6BF2"/>
    <w:rsid w:val="00A0035C"/>
    <w:rsid w:val="00A016F7"/>
    <w:rsid w:val="00A03262"/>
    <w:rsid w:val="00A144DC"/>
    <w:rsid w:val="00A15BCD"/>
    <w:rsid w:val="00A2018D"/>
    <w:rsid w:val="00A214D7"/>
    <w:rsid w:val="00A36DA7"/>
    <w:rsid w:val="00A47F59"/>
    <w:rsid w:val="00A56884"/>
    <w:rsid w:val="00A86615"/>
    <w:rsid w:val="00A91810"/>
    <w:rsid w:val="00AA2EA5"/>
    <w:rsid w:val="00AD5403"/>
    <w:rsid w:val="00AE3F98"/>
    <w:rsid w:val="00B03E42"/>
    <w:rsid w:val="00B062E6"/>
    <w:rsid w:val="00B079F0"/>
    <w:rsid w:val="00B16396"/>
    <w:rsid w:val="00B21D5A"/>
    <w:rsid w:val="00B2500E"/>
    <w:rsid w:val="00B26AB5"/>
    <w:rsid w:val="00B27964"/>
    <w:rsid w:val="00B34AC6"/>
    <w:rsid w:val="00B359D0"/>
    <w:rsid w:val="00B65B9E"/>
    <w:rsid w:val="00B65F2F"/>
    <w:rsid w:val="00B71675"/>
    <w:rsid w:val="00B721DD"/>
    <w:rsid w:val="00BA01D0"/>
    <w:rsid w:val="00C12324"/>
    <w:rsid w:val="00C216C8"/>
    <w:rsid w:val="00C35A3A"/>
    <w:rsid w:val="00C46256"/>
    <w:rsid w:val="00C46771"/>
    <w:rsid w:val="00C62045"/>
    <w:rsid w:val="00C64815"/>
    <w:rsid w:val="00C65FF7"/>
    <w:rsid w:val="00C858F8"/>
    <w:rsid w:val="00CD592A"/>
    <w:rsid w:val="00CF5526"/>
    <w:rsid w:val="00CF790F"/>
    <w:rsid w:val="00D03263"/>
    <w:rsid w:val="00D03372"/>
    <w:rsid w:val="00D17905"/>
    <w:rsid w:val="00D25F1E"/>
    <w:rsid w:val="00D321A6"/>
    <w:rsid w:val="00D564A2"/>
    <w:rsid w:val="00D75072"/>
    <w:rsid w:val="00D82567"/>
    <w:rsid w:val="00D840F7"/>
    <w:rsid w:val="00D878B6"/>
    <w:rsid w:val="00D95290"/>
    <w:rsid w:val="00DB6272"/>
    <w:rsid w:val="00DD0E1E"/>
    <w:rsid w:val="00DD2E97"/>
    <w:rsid w:val="00DE3F16"/>
    <w:rsid w:val="00DF0CAB"/>
    <w:rsid w:val="00E04C0D"/>
    <w:rsid w:val="00E14496"/>
    <w:rsid w:val="00E3101A"/>
    <w:rsid w:val="00E46465"/>
    <w:rsid w:val="00E55747"/>
    <w:rsid w:val="00E572A4"/>
    <w:rsid w:val="00E727A8"/>
    <w:rsid w:val="00E75329"/>
    <w:rsid w:val="00E87BEE"/>
    <w:rsid w:val="00E95620"/>
    <w:rsid w:val="00E95877"/>
    <w:rsid w:val="00E9698A"/>
    <w:rsid w:val="00E976EF"/>
    <w:rsid w:val="00EB627B"/>
    <w:rsid w:val="00F04751"/>
    <w:rsid w:val="00F2352E"/>
    <w:rsid w:val="00F301D4"/>
    <w:rsid w:val="00F46A9A"/>
    <w:rsid w:val="00F475FF"/>
    <w:rsid w:val="00F52CE0"/>
    <w:rsid w:val="00F556B9"/>
    <w:rsid w:val="00F612A2"/>
    <w:rsid w:val="00F65D13"/>
    <w:rsid w:val="00F80A41"/>
    <w:rsid w:val="00F945F8"/>
    <w:rsid w:val="00FA34F6"/>
    <w:rsid w:val="00FB3C13"/>
    <w:rsid w:val="00FD1E7F"/>
    <w:rsid w:val="00FD2F12"/>
    <w:rsid w:val="00FE2C12"/>
    <w:rsid w:val="00FE4F21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6D12"/>
    <w:pPr>
      <w:keepNext/>
      <w:jc w:val="right"/>
      <w:outlineLvl w:val="1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475FF"/>
    <w:pPr>
      <w:jc w:val="center"/>
    </w:pPr>
    <w:rPr>
      <w:rFonts w:ascii="Rockwell" w:hAnsi="Rockwell"/>
      <w:sz w:val="32"/>
    </w:rPr>
  </w:style>
  <w:style w:type="character" w:customStyle="1" w:styleId="TitoloCarattere">
    <w:name w:val="Titolo Carattere"/>
    <w:basedOn w:val="Carpredefinitoparagrafo"/>
    <w:link w:val="Titolo"/>
    <w:rsid w:val="00F475FF"/>
    <w:rPr>
      <w:rFonts w:ascii="Rockwell" w:eastAsia="Times New Roman" w:hAnsi="Rockwell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2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0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0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0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0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FB3C1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B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A144DC"/>
    <w:pPr>
      <w:spacing w:line="360" w:lineRule="auto"/>
      <w:jc w:val="both"/>
    </w:pPr>
    <w:rPr>
      <w:rFonts w:ascii="Courier New" w:hAnsi="Courier New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144DC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A6D1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450D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450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450D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2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ATA">
    <w:name w:val="DATA"/>
    <w:basedOn w:val="Normale"/>
    <w:rsid w:val="00F556B9"/>
    <w:pPr>
      <w:spacing w:before="120" w:after="120" w:line="360" w:lineRule="auto"/>
      <w:jc w:val="right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7BE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7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6D12"/>
    <w:pPr>
      <w:keepNext/>
      <w:jc w:val="right"/>
      <w:outlineLvl w:val="1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475FF"/>
    <w:pPr>
      <w:jc w:val="center"/>
    </w:pPr>
    <w:rPr>
      <w:rFonts w:ascii="Rockwell" w:hAnsi="Rockwell"/>
      <w:sz w:val="32"/>
    </w:rPr>
  </w:style>
  <w:style w:type="character" w:customStyle="1" w:styleId="TitoloCarattere">
    <w:name w:val="Titolo Carattere"/>
    <w:basedOn w:val="Carpredefinitoparagrafo"/>
    <w:link w:val="Titolo"/>
    <w:rsid w:val="00F475FF"/>
    <w:rPr>
      <w:rFonts w:ascii="Rockwell" w:eastAsia="Times New Roman" w:hAnsi="Rockwell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2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0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0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0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0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FB3C1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FB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A144DC"/>
    <w:pPr>
      <w:spacing w:line="360" w:lineRule="auto"/>
      <w:jc w:val="both"/>
    </w:pPr>
    <w:rPr>
      <w:rFonts w:ascii="Courier New" w:hAnsi="Courier New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144DC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A6D1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450D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450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450D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2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ATA">
    <w:name w:val="DATA"/>
    <w:basedOn w:val="Normale"/>
    <w:rsid w:val="00F556B9"/>
    <w:pPr>
      <w:spacing w:before="120" w:after="120" w:line="360" w:lineRule="auto"/>
      <w:jc w:val="right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7BE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1737-6660-4506-B3BA-30141976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Simonetti</dc:creator>
  <cp:lastModifiedBy>Paola Santoni</cp:lastModifiedBy>
  <cp:revision>2</cp:revision>
  <cp:lastPrinted>2018-10-05T10:09:00Z</cp:lastPrinted>
  <dcterms:created xsi:type="dcterms:W3CDTF">2022-12-15T16:03:00Z</dcterms:created>
  <dcterms:modified xsi:type="dcterms:W3CDTF">2022-12-15T16:03:00Z</dcterms:modified>
</cp:coreProperties>
</file>