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0EEF2CA9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3E175B">
        <w:rPr>
          <w:b/>
          <w:sz w:val="24"/>
          <w:szCs w:val="24"/>
        </w:rPr>
        <w:t xml:space="preserve">                 </w:t>
      </w:r>
      <w:r w:rsidR="002E4A7F">
        <w:rPr>
          <w:b/>
          <w:sz w:val="24"/>
          <w:szCs w:val="24"/>
        </w:rPr>
        <w:t xml:space="preserve"> </w:t>
      </w:r>
      <w:r w:rsidR="003E175B">
        <w:rPr>
          <w:b/>
          <w:sz w:val="24"/>
          <w:szCs w:val="24"/>
        </w:rPr>
        <w:t>M</w:t>
      </w:r>
      <w:r w:rsidR="00F4706F" w:rsidRPr="00F4706F">
        <w:rPr>
          <w:b/>
          <w:sz w:val="24"/>
          <w:szCs w:val="24"/>
        </w:rPr>
        <w:t>A</w:t>
      </w:r>
      <w:r w:rsidR="003E175B">
        <w:rPr>
          <w:b/>
          <w:sz w:val="24"/>
          <w:szCs w:val="24"/>
        </w:rPr>
        <w:t>I</w:t>
      </w:r>
      <w:r w:rsidR="002E4A7F">
        <w:rPr>
          <w:b/>
          <w:sz w:val="24"/>
          <w:szCs w:val="24"/>
        </w:rPr>
        <w:t>ERA’</w:t>
      </w:r>
    </w:p>
    <w:p w14:paraId="12849E4E" w14:textId="551BCA18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F4706F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66057CEC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742A2B">
        <w:rPr>
          <w:b/>
          <w:sz w:val="24"/>
          <w:szCs w:val="24"/>
        </w:rPr>
        <w:t>cinqu</w:t>
      </w:r>
      <w:r w:rsidR="00DF44C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742A2B">
        <w:rPr>
          <w:b/>
          <w:sz w:val="24"/>
          <w:szCs w:val="24"/>
        </w:rPr>
        <w:t>settembre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327085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</w:t>
      </w:r>
      <w:r w:rsidR="00327085"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5FD969FF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3E175B">
        <w:rPr>
          <w:b/>
          <w:sz w:val="24"/>
          <w:szCs w:val="24"/>
        </w:rPr>
        <w:t>Mai</w:t>
      </w:r>
      <w:r w:rsidR="002E4A7F">
        <w:rPr>
          <w:b/>
          <w:sz w:val="24"/>
          <w:szCs w:val="24"/>
        </w:rPr>
        <w:t>erà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4AD772B9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5713BB">
        <w:rPr>
          <w:b/>
          <w:sz w:val="24"/>
          <w:szCs w:val="24"/>
        </w:rPr>
        <w:t>97650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5713BB">
        <w:rPr>
          <w:b/>
          <w:sz w:val="24"/>
          <w:szCs w:val="24"/>
        </w:rPr>
        <w:t>29</w:t>
      </w:r>
      <w:r w:rsidR="001D2649">
        <w:rPr>
          <w:b/>
          <w:sz w:val="24"/>
          <w:szCs w:val="24"/>
        </w:rPr>
        <w:t>/</w:t>
      </w:r>
      <w:r w:rsidR="00E103DF">
        <w:rPr>
          <w:b/>
          <w:sz w:val="24"/>
          <w:szCs w:val="24"/>
        </w:rPr>
        <w:t>0</w:t>
      </w:r>
      <w:r w:rsidR="003E175B">
        <w:rPr>
          <w:b/>
          <w:sz w:val="24"/>
          <w:szCs w:val="24"/>
        </w:rPr>
        <w:t>8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2E4A7F">
        <w:rPr>
          <w:b/>
          <w:sz w:val="24"/>
          <w:szCs w:val="24"/>
        </w:rPr>
        <w:t>Maierà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61CE18EA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</w:t>
      </w:r>
      <w:r w:rsidR="003F0688">
        <w:rPr>
          <w:sz w:val="28"/>
          <w:szCs w:val="28"/>
        </w:rPr>
        <w:t>CAPRISTO GIUSEPPE FRANCESCO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</w:t>
      </w:r>
      <w:r w:rsidR="00D5681D">
        <w:rPr>
          <w:sz w:val="28"/>
          <w:szCs w:val="28"/>
        </w:rPr>
        <w:t xml:space="preserve">   </w:t>
      </w:r>
      <w:r w:rsidR="00D23A2D">
        <w:rPr>
          <w:sz w:val="28"/>
          <w:szCs w:val="28"/>
        </w:rPr>
        <w:t xml:space="preserve">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1E9642D3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3F0688">
        <w:rPr>
          <w:sz w:val="28"/>
          <w:szCs w:val="28"/>
        </w:rPr>
        <w:t xml:space="preserve">STRAFACE NATALE </w:t>
      </w:r>
      <w:r w:rsidR="00D5681D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CA4F2C" w:rsidRPr="00F1325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 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7C573036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</w:t>
      </w:r>
      <w:r w:rsidR="003F0688">
        <w:rPr>
          <w:sz w:val="28"/>
          <w:szCs w:val="28"/>
        </w:rPr>
        <w:t>MORONITI BRUNO</w:t>
      </w:r>
      <w:r w:rsidRPr="00F1325B">
        <w:rPr>
          <w:sz w:val="28"/>
          <w:szCs w:val="28"/>
        </w:rPr>
        <w:t xml:space="preserve"> </w:t>
      </w:r>
      <w:r w:rsidR="00D5681D">
        <w:rPr>
          <w:sz w:val="28"/>
          <w:szCs w:val="28"/>
        </w:rPr>
        <w:t xml:space="preserve">                           </w:t>
      </w:r>
      <w:r w:rsidR="00AC3F72">
        <w:rPr>
          <w:sz w:val="28"/>
          <w:szCs w:val="28"/>
        </w:rPr>
        <w:t xml:space="preserve">      </w:t>
      </w:r>
      <w:r w:rsidR="005C1D61">
        <w:rPr>
          <w:sz w:val="28"/>
          <w:szCs w:val="28"/>
        </w:rPr>
        <w:t xml:space="preserve"> </w:t>
      </w:r>
      <w:r w:rsidR="003A67DE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7C45618A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C23573">
        <w:rPr>
          <w:b/>
          <w:sz w:val="24"/>
          <w:szCs w:val="24"/>
        </w:rPr>
        <w:t>11</w:t>
      </w:r>
      <w:r w:rsidR="00001470">
        <w:rPr>
          <w:b/>
          <w:sz w:val="24"/>
          <w:szCs w:val="24"/>
        </w:rPr>
        <w:t>.</w:t>
      </w:r>
      <w:r w:rsidR="00C23573">
        <w:rPr>
          <w:b/>
          <w:sz w:val="24"/>
          <w:szCs w:val="24"/>
        </w:rPr>
        <w:t>3</w:t>
      </w:r>
      <w:r w:rsidR="00DF44CE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4D9A75E0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2E4A7F">
        <w:rPr>
          <w:b/>
          <w:sz w:val="24"/>
          <w:szCs w:val="24"/>
        </w:rPr>
        <w:t>Maierà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52E6DF51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742A2B">
        <w:rPr>
          <w:b/>
          <w:sz w:val="24"/>
          <w:szCs w:val="24"/>
        </w:rPr>
        <w:t>5</w:t>
      </w:r>
      <w:r w:rsidR="00B20B38">
        <w:rPr>
          <w:b/>
          <w:sz w:val="24"/>
          <w:szCs w:val="24"/>
        </w:rPr>
        <w:t xml:space="preserve"> </w:t>
      </w:r>
      <w:r w:rsidR="00DF44CE">
        <w:rPr>
          <w:b/>
          <w:sz w:val="24"/>
          <w:szCs w:val="24"/>
        </w:rPr>
        <w:t>settembre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1E65196B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6AB7CC57" w14:textId="77777777" w:rsidR="00E315DA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7CF9F4E0" w14:textId="77777777" w:rsidR="00E315DA" w:rsidRDefault="00E315DA" w:rsidP="002C3F55">
      <w:pPr>
        <w:jc w:val="both"/>
        <w:rPr>
          <w:sz w:val="24"/>
          <w:szCs w:val="24"/>
        </w:rPr>
      </w:pPr>
    </w:p>
    <w:p w14:paraId="74068504" w14:textId="6B03F47B" w:rsidR="003E2CB9" w:rsidRDefault="00E315DA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sectPr w:rsidR="003E2CB9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E16D2" w14:textId="77777777" w:rsidR="00A95810" w:rsidRDefault="00A95810">
      <w:r>
        <w:separator/>
      </w:r>
    </w:p>
  </w:endnote>
  <w:endnote w:type="continuationSeparator" w:id="0">
    <w:p w14:paraId="1A3BC83A" w14:textId="77777777" w:rsidR="00A95810" w:rsidRDefault="00A9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B480F" w14:textId="77777777" w:rsidR="00A95810" w:rsidRDefault="00A95810">
      <w:r>
        <w:separator/>
      </w:r>
    </w:p>
  </w:footnote>
  <w:footnote w:type="continuationSeparator" w:id="0">
    <w:p w14:paraId="43C31589" w14:textId="77777777" w:rsidR="00A95810" w:rsidRDefault="00A9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D01C8"/>
    <w:rsid w:val="000D2F32"/>
    <w:rsid w:val="000D5D94"/>
    <w:rsid w:val="000D79F8"/>
    <w:rsid w:val="000E0654"/>
    <w:rsid w:val="000E0898"/>
    <w:rsid w:val="000E3FCB"/>
    <w:rsid w:val="000E5E65"/>
    <w:rsid w:val="000F1801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338E"/>
    <w:rsid w:val="0013492C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2027D1"/>
    <w:rsid w:val="00205F6A"/>
    <w:rsid w:val="00211C38"/>
    <w:rsid w:val="0022396A"/>
    <w:rsid w:val="0022423E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F55"/>
    <w:rsid w:val="002D3933"/>
    <w:rsid w:val="002D52C7"/>
    <w:rsid w:val="002E33CE"/>
    <w:rsid w:val="002E4A7F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085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D59D7"/>
    <w:rsid w:val="003E175B"/>
    <w:rsid w:val="003E205B"/>
    <w:rsid w:val="003E21F9"/>
    <w:rsid w:val="003E2CB9"/>
    <w:rsid w:val="003E5189"/>
    <w:rsid w:val="003E6453"/>
    <w:rsid w:val="003F0688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2F41"/>
    <w:rsid w:val="004535CD"/>
    <w:rsid w:val="00455E6D"/>
    <w:rsid w:val="00455FC9"/>
    <w:rsid w:val="004573B6"/>
    <w:rsid w:val="004606ED"/>
    <w:rsid w:val="004642AA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3BB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387F"/>
    <w:rsid w:val="0062480D"/>
    <w:rsid w:val="00630734"/>
    <w:rsid w:val="00630F17"/>
    <w:rsid w:val="0063190D"/>
    <w:rsid w:val="006332BE"/>
    <w:rsid w:val="0063722F"/>
    <w:rsid w:val="0064385F"/>
    <w:rsid w:val="00643C6B"/>
    <w:rsid w:val="006554A8"/>
    <w:rsid w:val="0065647B"/>
    <w:rsid w:val="00660A91"/>
    <w:rsid w:val="00672744"/>
    <w:rsid w:val="00674D68"/>
    <w:rsid w:val="006765B9"/>
    <w:rsid w:val="006800CB"/>
    <w:rsid w:val="00686CB5"/>
    <w:rsid w:val="006903B0"/>
    <w:rsid w:val="006947DC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6A3"/>
    <w:rsid w:val="00701248"/>
    <w:rsid w:val="00704E8B"/>
    <w:rsid w:val="007144F8"/>
    <w:rsid w:val="00714AA0"/>
    <w:rsid w:val="00724EEA"/>
    <w:rsid w:val="00726A69"/>
    <w:rsid w:val="007271A9"/>
    <w:rsid w:val="0072775A"/>
    <w:rsid w:val="007328F1"/>
    <w:rsid w:val="0073525B"/>
    <w:rsid w:val="0073756A"/>
    <w:rsid w:val="00742A2B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50B7"/>
    <w:rsid w:val="00825FD5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81FF2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3CE4"/>
    <w:rsid w:val="00904667"/>
    <w:rsid w:val="00904BC5"/>
    <w:rsid w:val="009116C1"/>
    <w:rsid w:val="009129CC"/>
    <w:rsid w:val="0091420C"/>
    <w:rsid w:val="00915494"/>
    <w:rsid w:val="009173DD"/>
    <w:rsid w:val="00925BE5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06BD"/>
    <w:rsid w:val="00971CAB"/>
    <w:rsid w:val="009721A6"/>
    <w:rsid w:val="009723B2"/>
    <w:rsid w:val="0097489E"/>
    <w:rsid w:val="0097715F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3DF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740E7"/>
    <w:rsid w:val="00A743B8"/>
    <w:rsid w:val="00A81DB4"/>
    <w:rsid w:val="00A8689B"/>
    <w:rsid w:val="00A95810"/>
    <w:rsid w:val="00AA3DD3"/>
    <w:rsid w:val="00AB45C9"/>
    <w:rsid w:val="00AB61D1"/>
    <w:rsid w:val="00AB6F1D"/>
    <w:rsid w:val="00AC3438"/>
    <w:rsid w:val="00AC3F72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00C6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C35C0"/>
    <w:rsid w:val="00BD761F"/>
    <w:rsid w:val="00BD77BD"/>
    <w:rsid w:val="00BF2101"/>
    <w:rsid w:val="00BF543C"/>
    <w:rsid w:val="00C2085D"/>
    <w:rsid w:val="00C23573"/>
    <w:rsid w:val="00C2604C"/>
    <w:rsid w:val="00C2706B"/>
    <w:rsid w:val="00C27585"/>
    <w:rsid w:val="00C27E32"/>
    <w:rsid w:val="00C32C4B"/>
    <w:rsid w:val="00C348FB"/>
    <w:rsid w:val="00C410E7"/>
    <w:rsid w:val="00C46E2D"/>
    <w:rsid w:val="00C53DD1"/>
    <w:rsid w:val="00C611A2"/>
    <w:rsid w:val="00C64CB9"/>
    <w:rsid w:val="00C64E37"/>
    <w:rsid w:val="00C70767"/>
    <w:rsid w:val="00C70815"/>
    <w:rsid w:val="00C73BF5"/>
    <w:rsid w:val="00C742AA"/>
    <w:rsid w:val="00C775A6"/>
    <w:rsid w:val="00C81ADA"/>
    <w:rsid w:val="00C8315B"/>
    <w:rsid w:val="00C83429"/>
    <w:rsid w:val="00C843AD"/>
    <w:rsid w:val="00C90AB0"/>
    <w:rsid w:val="00CA4F2C"/>
    <w:rsid w:val="00CA6297"/>
    <w:rsid w:val="00CB6CA8"/>
    <w:rsid w:val="00CC3E4A"/>
    <w:rsid w:val="00CC66ED"/>
    <w:rsid w:val="00CC6ED1"/>
    <w:rsid w:val="00CD01CD"/>
    <w:rsid w:val="00CE5A1A"/>
    <w:rsid w:val="00CE6199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2979"/>
    <w:rsid w:val="00D551CB"/>
    <w:rsid w:val="00D5681D"/>
    <w:rsid w:val="00D6027C"/>
    <w:rsid w:val="00D619B5"/>
    <w:rsid w:val="00D64958"/>
    <w:rsid w:val="00D662F8"/>
    <w:rsid w:val="00D73F95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E6FF2"/>
    <w:rsid w:val="00DF0D8B"/>
    <w:rsid w:val="00DF44CE"/>
    <w:rsid w:val="00DF5F7B"/>
    <w:rsid w:val="00DF6DA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15DA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56794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B601F"/>
    <w:rsid w:val="00EC05E7"/>
    <w:rsid w:val="00EC0628"/>
    <w:rsid w:val="00EC6BC7"/>
    <w:rsid w:val="00EC6C5F"/>
    <w:rsid w:val="00ED3736"/>
    <w:rsid w:val="00ED4812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179B1"/>
    <w:rsid w:val="00F2023E"/>
    <w:rsid w:val="00F305DB"/>
    <w:rsid w:val="00F310EE"/>
    <w:rsid w:val="00F424AE"/>
    <w:rsid w:val="00F43578"/>
    <w:rsid w:val="00F44711"/>
    <w:rsid w:val="00F466AF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144</cp:revision>
  <cp:lastPrinted>2020-04-14T16:05:00Z</cp:lastPrinted>
  <dcterms:created xsi:type="dcterms:W3CDTF">2016-11-30T10:41:00Z</dcterms:created>
  <dcterms:modified xsi:type="dcterms:W3CDTF">2024-09-05T09:34:00Z</dcterms:modified>
</cp:coreProperties>
</file>