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17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17"/>
      </w:tblGrid>
      <w:tr w:rsidR="00E70F3D">
        <w:trPr>
          <w:trHeight w:val="2318"/>
        </w:trPr>
        <w:tc>
          <w:tcPr>
            <w:tcW w:w="10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F3D" w:rsidRDefault="00E70F3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E70F3D" w:rsidRDefault="00D50F6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Il presente documento deve essere obbligatoriamente sottoscritto da parte del concorrente e presentato unitamente alla documentazione amministrativa. </w:t>
            </w:r>
          </w:p>
          <w:p w:rsidR="00E70F3D" w:rsidRDefault="00E70F3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E70F3D" w:rsidRDefault="00D50F6B">
            <w:r>
              <w:rPr>
                <w:rFonts w:ascii="Arial" w:hAnsi="Arial" w:cs="Arial"/>
                <w:bCs/>
                <w:sz w:val="16"/>
                <w:szCs w:val="16"/>
              </w:rPr>
              <w:t xml:space="preserve">In caso di partecipazione in forma plurima (RTI/Consorzi 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ordinari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sia costituiti che costituendi) il Patto deve essere firmato dal legale rappresentante/procuratore speciale di 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ogni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componente. </w:t>
            </w:r>
          </w:p>
          <w:p w:rsidR="00E70F3D" w:rsidRDefault="00E70F3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E70F3D" w:rsidRDefault="00D50F6B">
            <w:r>
              <w:rPr>
                <w:rFonts w:ascii="Arial" w:hAnsi="Arial" w:cs="Arial"/>
                <w:bCs/>
                <w:sz w:val="16"/>
                <w:szCs w:val="16"/>
              </w:rPr>
              <w:t xml:space="preserve">In caso di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  <w:t>consorzi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di cui all’art. 46 co. 1 lett. f) del D.Lgs. 50/2016 che partecipano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  <w:t>in proprio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il Patto deve essere firmato dal legale rappresentante/procuratore speciale del consorzio. </w:t>
            </w:r>
          </w:p>
          <w:p w:rsidR="00E70F3D" w:rsidRDefault="00E70F3D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E70F3D" w:rsidRDefault="00D50F6B"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In caso di consorzi di cui all’art. 46 co. 1 lett. f) del D.Lgs. 50/2016 che partecipano per alcune consorziate il Patto deve essere firmato dal legale rappresentante/procuratore speciale del consorzio e delle singole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consorziate esecutrici. </w:t>
            </w:r>
          </w:p>
        </w:tc>
      </w:tr>
    </w:tbl>
    <w:p w:rsidR="00E70F3D" w:rsidRDefault="00E70F3D">
      <w:pPr>
        <w:jc w:val="center"/>
        <w:rPr>
          <w:rFonts w:ascii="Arial" w:hAnsi="Arial" w:cs="Arial"/>
          <w:b/>
          <w:bCs/>
        </w:rPr>
      </w:pPr>
    </w:p>
    <w:p w:rsidR="00E70F3D" w:rsidRDefault="00E70F3D">
      <w:pPr>
        <w:jc w:val="center"/>
        <w:rPr>
          <w:rFonts w:ascii="Arial" w:hAnsi="Arial" w:cs="Arial"/>
          <w:b/>
          <w:bCs/>
        </w:rPr>
      </w:pPr>
    </w:p>
    <w:p w:rsidR="00E70F3D" w:rsidRDefault="00D50F6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PATTO DI INTEGRITA’</w:t>
      </w:r>
    </w:p>
    <w:p w:rsidR="00E70F3D" w:rsidRDefault="00E70F3D">
      <w:pPr>
        <w:jc w:val="center"/>
        <w:rPr>
          <w:rFonts w:ascii="Arial" w:hAnsi="Arial" w:cs="Arial"/>
          <w:b/>
        </w:rPr>
      </w:pPr>
    </w:p>
    <w:p w:rsidR="00E70F3D" w:rsidRDefault="00D50F6B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PROCEDURA APERTA PER L’AFFIDAMENTO DEL SERVIZIO DI RECUPERO, CUSTODIA E ACQUISTO DEI VEICOLI OGGETTO DEI PROVVEDIMENTI DI SEQUESTRO AMMINISTRATIVO, FERMO O CONFISCA AI SENSI DELL’ARTICOLO 214 BIS DEL D. LGS. N. 285/92 AMB</w:t>
      </w:r>
      <w:r w:rsidR="001E3CB6">
        <w:rPr>
          <w:rFonts w:ascii="Arial" w:hAnsi="Arial" w:cs="Arial"/>
          <w:b/>
          <w:sz w:val="22"/>
        </w:rPr>
        <w:t>ITO TERRITORIALE PROVINCIALE DELL’AQUILA</w:t>
      </w:r>
    </w:p>
    <w:p w:rsidR="00005E59" w:rsidRDefault="00005E59">
      <w:pPr>
        <w:rPr>
          <w:rFonts w:ascii="Arial" w:hAnsi="Arial" w:cs="Arial"/>
          <w:sz w:val="22"/>
        </w:rPr>
      </w:pPr>
    </w:p>
    <w:p w:rsidR="00DC4DF3" w:rsidRDefault="007F0D50" w:rsidP="00DC4DF3">
      <w:pPr>
        <w:ind w:left="2832" w:firstLine="708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  <w:r w:rsidR="00D50F6B" w:rsidRPr="00D50F6B">
        <w:rPr>
          <w:rFonts w:ascii="Arial" w:hAnsi="Arial" w:cs="Arial"/>
          <w:b/>
          <w:sz w:val="22"/>
        </w:rPr>
        <w:t>CIG</w:t>
      </w:r>
      <w:r w:rsidR="00DC4DF3">
        <w:rPr>
          <w:rFonts w:ascii="Arial" w:hAnsi="Arial" w:cs="Arial"/>
          <w:b/>
          <w:sz w:val="22"/>
        </w:rPr>
        <w:t xml:space="preserve">: </w:t>
      </w:r>
    </w:p>
    <w:p w:rsidR="007F0D50" w:rsidRDefault="007F0D50">
      <w:pPr>
        <w:jc w:val="center"/>
        <w:rPr>
          <w:rFonts w:ascii="Arial" w:hAnsi="Arial" w:cs="Arial"/>
          <w:b/>
          <w:sz w:val="22"/>
        </w:rPr>
      </w:pPr>
    </w:p>
    <w:p w:rsidR="00E70F3D" w:rsidRDefault="00D50F6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tra</w:t>
      </w:r>
    </w:p>
    <w:p w:rsidR="001E3CB6" w:rsidRDefault="001E3CB6">
      <w:pPr>
        <w:jc w:val="center"/>
        <w:rPr>
          <w:rFonts w:ascii="Arial" w:hAnsi="Arial" w:cs="Arial"/>
        </w:rPr>
      </w:pPr>
    </w:p>
    <w:p w:rsidR="00E70F3D" w:rsidRDefault="00D50F6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l’Agenzia del Demanio </w:t>
      </w:r>
    </w:p>
    <w:p w:rsidR="001E3CB6" w:rsidRDefault="001E3CB6">
      <w:pPr>
        <w:jc w:val="center"/>
        <w:rPr>
          <w:rFonts w:ascii="Arial" w:hAnsi="Arial" w:cs="Arial"/>
        </w:rPr>
      </w:pPr>
    </w:p>
    <w:p w:rsidR="00E70F3D" w:rsidRDefault="00D50F6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e</w:t>
      </w:r>
    </w:p>
    <w:p w:rsidR="00E70F3D" w:rsidRDefault="00E70F3D">
      <w:pPr>
        <w:jc w:val="center"/>
        <w:rPr>
          <w:rFonts w:ascii="Arial" w:hAnsi="Arial" w:cs="Arial"/>
        </w:rPr>
      </w:pPr>
    </w:p>
    <w:p w:rsidR="00E70F3D" w:rsidRDefault="00D50F6B">
      <w:pPr>
        <w:spacing w:after="120" w:line="276" w:lineRule="auto"/>
      </w:pPr>
      <w:r>
        <w:rPr>
          <w:rFonts w:ascii="Arial" w:hAnsi="Arial" w:cs="Arial"/>
        </w:rPr>
        <w:t xml:space="preserve">Il/La sottoscritto/a </w:t>
      </w:r>
      <w:bookmarkStart w:id="0" w:name="Testo1"/>
      <w:r>
        <w:rPr>
          <w:rFonts w:ascii="Arial" w:hAnsi="Arial" w:cs="Arial"/>
        </w:rPr>
        <w:t xml:space="preserve">   </w:t>
      </w:r>
      <w:bookmarkEnd w:id="0"/>
      <w:r>
        <w:rPr>
          <w:rFonts w:ascii="Arial" w:hAnsi="Arial" w:cs="Arial"/>
        </w:rPr>
        <w:t xml:space="preserve"> nato/a </w:t>
      </w:r>
      <w:proofErr w:type="spellStart"/>
      <w:r>
        <w:rPr>
          <w:rFonts w:ascii="Arial" w:hAnsi="Arial" w:cs="Arial"/>
        </w:rPr>
        <w:t>a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 xml:space="preserve"> il 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 xml:space="preserve"> CF 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 xml:space="preserve"> residente a 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 xml:space="preserve">), via 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 xml:space="preserve"> n. 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 xml:space="preserve"> in qualità di:</w:t>
      </w:r>
    </w:p>
    <w:p w:rsidR="00E70F3D" w:rsidRDefault="00D50F6B">
      <w:pPr>
        <w:spacing w:after="120" w:line="276" w:lineRule="auto"/>
        <w:ind w:left="709"/>
      </w:pPr>
      <w:bookmarkStart w:id="1" w:name="Controllo1"/>
      <w:bookmarkEnd w:id="1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(se del caso)</w:t>
      </w:r>
      <w:r>
        <w:rPr>
          <w:rFonts w:ascii="Arial" w:hAnsi="Arial" w:cs="Arial"/>
        </w:rPr>
        <w:t xml:space="preserve"> legale rappresentante</w:t>
      </w:r>
      <w:r>
        <w:rPr>
          <w:rFonts w:ascii="Arial" w:hAnsi="Arial" w:cs="Arial"/>
          <w:i/>
        </w:rPr>
        <w:t xml:space="preserve"> </w:t>
      </w:r>
    </w:p>
    <w:p w:rsidR="00E70F3D" w:rsidRDefault="00D50F6B">
      <w:pPr>
        <w:spacing w:after="120" w:line="276" w:lineRule="auto"/>
        <w:ind w:left="709"/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 xml:space="preserve">(se del caso) </w:t>
      </w:r>
      <w:r>
        <w:rPr>
          <w:rFonts w:ascii="Arial" w:hAnsi="Arial" w:cs="Arial"/>
        </w:rPr>
        <w:t xml:space="preserve">procuratore generale/speciale, giusta procura allegata </w:t>
      </w:r>
    </w:p>
    <w:p w:rsidR="00E70F3D" w:rsidRDefault="00D50F6B">
      <w:pPr>
        <w:spacing w:after="120" w:line="276" w:lineRule="auto"/>
      </w:pPr>
      <w:r>
        <w:rPr>
          <w:rFonts w:ascii="Arial" w:hAnsi="Arial" w:cs="Arial"/>
        </w:rPr>
        <w:t xml:space="preserve">dell’operatore economico 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  <w:i/>
        </w:rPr>
        <w:t xml:space="preserve"> (indicare la denominazione sociale) 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  <w:i/>
        </w:rPr>
        <w:t xml:space="preserve"> (indicare la forma giuridica) 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 xml:space="preserve"> (</w:t>
      </w:r>
      <w:r>
        <w:rPr>
          <w:rFonts w:ascii="Arial" w:hAnsi="Arial" w:cs="Arial"/>
          <w:i/>
        </w:rPr>
        <w:t>indicare la sede legale</w:t>
      </w:r>
      <w:r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 xml:space="preserve"> (</w:t>
      </w:r>
      <w:r>
        <w:rPr>
          <w:rFonts w:ascii="Arial" w:hAnsi="Arial" w:cs="Arial"/>
          <w:i/>
        </w:rPr>
        <w:t>indicare CF e PI</w:t>
      </w:r>
      <w:r>
        <w:rPr>
          <w:rFonts w:ascii="Arial" w:hAnsi="Arial" w:cs="Arial"/>
        </w:rPr>
        <w:t xml:space="preserve">)  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indicare indirizzo pec</w:t>
      </w:r>
      <w:r>
        <w:rPr>
          <w:rFonts w:ascii="Arial" w:hAnsi="Arial" w:cs="Arial"/>
          <w:sz w:val="22"/>
          <w:szCs w:val="22"/>
        </w:rPr>
        <w:t xml:space="preserve">)  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t> </w:t>
      </w:r>
    </w:p>
    <w:p w:rsidR="00E70F3D" w:rsidRDefault="00D50F6B">
      <w:pPr>
        <w:spacing w:before="100" w:after="10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VISTO</w:t>
      </w:r>
    </w:p>
    <w:p w:rsidR="00E70F3D" w:rsidRDefault="00D50F6B">
      <w:pPr>
        <w:spacing w:before="100" w:after="100"/>
      </w:pPr>
      <w:r>
        <w:rPr>
          <w:rFonts w:ascii="Arial" w:hAnsi="Arial" w:cs="Arial"/>
        </w:rPr>
        <w:t xml:space="preserve">- l’art. 1 co. 17 della L. 190/2012 </w:t>
      </w:r>
      <w:r>
        <w:rPr>
          <w:rFonts w:ascii="Arial" w:hAnsi="Arial" w:cs="Arial"/>
          <w:i/>
        </w:rPr>
        <w:t>“Disposizioni per la prevenzione e la repressione della corruzione e dell’illegalità nella pubblica amministrazione</w:t>
      </w:r>
      <w:r>
        <w:rPr>
          <w:rFonts w:ascii="Arial" w:hAnsi="Arial" w:cs="Arial"/>
        </w:rPr>
        <w:t xml:space="preserve">” il quale dispone che </w:t>
      </w:r>
      <w:r>
        <w:rPr>
          <w:rFonts w:ascii="Arial" w:hAnsi="Arial" w:cs="Arial"/>
          <w:i/>
        </w:rPr>
        <w:t>“le stazioni appaltanti possono prevedere negli avvisi, bandi di gara o lettere di invito che il mancato rispetto delle clausole contenute nei protocolli di legalità o nei patti di integrità costituisce causa di esclusione dalla gara”</w:t>
      </w:r>
      <w:r>
        <w:rPr>
          <w:rFonts w:ascii="Arial" w:hAnsi="Arial" w:cs="Arial"/>
        </w:rPr>
        <w:t>;</w:t>
      </w:r>
    </w:p>
    <w:p w:rsidR="00E70F3D" w:rsidRDefault="00D50F6B">
      <w:pPr>
        <w:spacing w:before="100" w:after="100"/>
        <w:rPr>
          <w:rFonts w:ascii="Arial" w:hAnsi="Arial" w:cs="Arial"/>
        </w:rPr>
      </w:pPr>
      <w:r>
        <w:rPr>
          <w:rFonts w:ascii="Arial" w:hAnsi="Arial" w:cs="Arial"/>
        </w:rPr>
        <w:t xml:space="preserve">- il Piano Triennale di Prevenzione della Corruzione (PTPC) dell’Agenzia del Demanio; </w:t>
      </w:r>
    </w:p>
    <w:p w:rsidR="00E70F3D" w:rsidRDefault="00E70F3D">
      <w:pPr>
        <w:spacing w:before="100" w:after="100"/>
        <w:jc w:val="center"/>
        <w:rPr>
          <w:rFonts w:ascii="Arial" w:hAnsi="Arial" w:cs="Arial"/>
          <w:b/>
        </w:rPr>
      </w:pPr>
    </w:p>
    <w:p w:rsidR="00E70F3D" w:rsidRDefault="00D50F6B">
      <w:pPr>
        <w:spacing w:before="100" w:after="10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 CONVIENE E SI STIPULA QUANTO SEGUE</w:t>
      </w:r>
    </w:p>
    <w:p w:rsidR="00E70F3D" w:rsidRDefault="00E70F3D">
      <w:pPr>
        <w:spacing w:after="120"/>
        <w:rPr>
          <w:rFonts w:ascii="Arial" w:hAnsi="Arial" w:cs="Arial"/>
          <w:b/>
        </w:rPr>
      </w:pPr>
    </w:p>
    <w:p w:rsidR="00E70F3D" w:rsidRDefault="00D50F6B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1 - Finalità </w:t>
      </w:r>
    </w:p>
    <w:p w:rsidR="00E70F3D" w:rsidRDefault="00D50F6B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Il presente Patto d’integrità stabilisce la reciproca e formale obbligazione tra l’Agenzia del Demanio e l’operatore economico di improntare i propri comportamenti ai principi di lealtà, trasparenza e correttezza. </w:t>
      </w:r>
    </w:p>
    <w:p w:rsidR="00E70F3D" w:rsidRDefault="00D50F6B">
      <w:pPr>
        <w:tabs>
          <w:tab w:val="left" w:pos="360"/>
        </w:tabs>
        <w:spacing w:after="120"/>
      </w:pPr>
      <w:r>
        <w:rPr>
          <w:rFonts w:ascii="Arial" w:hAnsi="Arial" w:cs="Arial"/>
          <w:b/>
        </w:rPr>
        <w:t xml:space="preserve">Art. 2 - Durata </w:t>
      </w:r>
    </w:p>
    <w:p w:rsidR="00E70F3D" w:rsidRDefault="00D50F6B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Il presente Patto e le relative sanzioni, di seguito indicate all’art. 5, sono applicabili fino alla completa esecuzione del contratto, al quale verrà formalmente allegato il presente documento, per costituirne parte integrante e sostanziale.  </w:t>
      </w:r>
    </w:p>
    <w:p w:rsidR="00E70F3D" w:rsidRDefault="00D50F6B">
      <w:pPr>
        <w:tabs>
          <w:tab w:val="left" w:pos="360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3 - Obblighi a carico dell’operatore economico </w:t>
      </w:r>
    </w:p>
    <w:p w:rsidR="00E70F3D" w:rsidRDefault="00D50F6B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Ai fini della formalizzazione dell’affidamento, l’operatore economico:  </w:t>
      </w:r>
    </w:p>
    <w:p w:rsidR="00E70F3D" w:rsidRDefault="00D50F6B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- dichiara di non essere intervenuto nel procedimento amministrativo diretto a stabilire il contenuto delle prestazioni contrattuali al fine di condizionare le modalità di scelta del contraente da parte dell’Agenzia; </w:t>
      </w:r>
    </w:p>
    <w:p w:rsidR="00E70F3D" w:rsidRDefault="00D50F6B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- dichiara di non aver corrisposto né promesso di corrispondere ad alcuno, direttamente o tramite terzi, ivi compresi soggetti collegati o controllati, somme di denaro o qualsiasi altra ricompensa, vantaggio o beneficio, per facilitare l’affidamento e/o gestione del contratto e si impegna altresì a non corrispondere né promettere di corrispondere altra ricompensa, vantaggio o beneficio per le suddette finalità; </w:t>
      </w:r>
    </w:p>
    <w:p w:rsidR="00E70F3D" w:rsidRDefault="00D50F6B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- si obbliga a non ricorrere ad alcuna mediazione o altra opera di terzi finalizzata all’affidamento e/o gestione del contratto; </w:t>
      </w:r>
    </w:p>
    <w:p w:rsidR="00E70F3D" w:rsidRDefault="00D50F6B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- si impegna a segnalare alla Stazione appaltante qualsiasi tentativo di turbativa, irregolarità o distorsione durante l’esecuzione del contratto, da parte di ogni interessato o addetto o di chiunque possa influenzare le decisioni relative al presente affidamento;</w:t>
      </w:r>
    </w:p>
    <w:p w:rsidR="00E70F3D" w:rsidRDefault="00D50F6B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- dichiara, ai fini dell’applicazione dell’art. 53 co. 16 ter del D.Lgs. 165/2001, di non aver concluso contratti di lavoro subordinato o autonomo e, comunque, di non aver attribuito incarichi ad ex dipendenti dell’Agenzia che hanno esercitato poteri autoritativi o negoziali per conto della stessa nei loro confronti, per il triennio successivo alla cessazione del rapporto;</w:t>
      </w:r>
    </w:p>
    <w:p w:rsidR="00E70F3D" w:rsidRDefault="00D50F6B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- dichiara di essere consapevole che, qualora emerga la situazione di cui al punto precedente, essa determinerà la nullità del contratto e il divieto di contrarre con l’Amministrazione per i successivi tre anni con obbligo di restituzione dei compensi eventualmente percepiti ed accertati in esecuzione dell’affidamento illegittimo;</w:t>
      </w:r>
    </w:p>
    <w:p w:rsidR="00E70F3D" w:rsidRDefault="00D50F6B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 - dichiara, ai fini dell’applicazione dell’art. 1 co. 9 lett. e) L. 190/2012, per sé e per i soci facenti parte della compagine sociale che:</w:t>
      </w:r>
    </w:p>
    <w:p w:rsidR="00E70F3D" w:rsidRDefault="00D50F6B">
      <w:pPr>
        <w:tabs>
          <w:tab w:val="left" w:pos="360"/>
        </w:tabs>
        <w:spacing w:after="120"/>
      </w:pPr>
      <w:r>
        <w:rPr>
          <w:rFonts w:ascii="Arial" w:hAnsi="Arial" w:cs="Aria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1209037</wp:posOffset>
                </wp:positionH>
                <wp:positionV relativeFrom="paragraph">
                  <wp:posOffset>108585</wp:posOffset>
                </wp:positionV>
                <wp:extent cx="4143375" cy="283848"/>
                <wp:effectExtent l="0" t="0" r="28575" b="20952"/>
                <wp:wrapSquare wrapText="bothSides"/>
                <wp:docPr id="1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3375" cy="2838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70F3D" w:rsidRDefault="00D50F6B">
                            <w:pPr>
                              <w:jc w:val="center"/>
                              <w:rPr>
                                <w:b/>
                                <w:color w:val="FF0000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u w:val="single"/>
                              </w:rPr>
                              <w:t>BARRARE UNA SOLA OPZIONE DELLE DUE CHE SEGUONO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95.2pt;margin-top:8.55pt;width:326.25pt;height:22.3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" strokeweight=".26467mm">
                <v:textbox>
                  <w:txbxContent>
                    <w:p w:rsidR="00E70F3D" w:rsidRDefault="00D50F6B">
                      <w:pPr>
                        <w:jc w:val="center"/>
                        <w:rPr>
                          <w:b/>
                          <w:color w:val="FF0000"/>
                          <w:sz w:val="16"/>
                          <w:u w:val="single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u w:val="single"/>
                        </w:rPr>
                        <w:t>BARRARE UNA SOLA OPZIONE DELLE DUE CHE SEGUONO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E70F3D" w:rsidRDefault="00E70F3D">
      <w:pPr>
        <w:tabs>
          <w:tab w:val="left" w:pos="360"/>
        </w:tabs>
        <w:spacing w:after="120"/>
        <w:rPr>
          <w:rFonts w:ascii="Arial" w:hAnsi="Arial" w:cs="Arial"/>
        </w:rPr>
      </w:pPr>
    </w:p>
    <w:p w:rsidR="00E70F3D" w:rsidRDefault="00D50F6B">
      <w:pPr>
        <w:tabs>
          <w:tab w:val="left" w:pos="360"/>
        </w:tabs>
        <w:spacing w:after="120"/>
        <w:ind w:left="360"/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-90699</wp:posOffset>
                </wp:positionH>
                <wp:positionV relativeFrom="paragraph">
                  <wp:posOffset>156371</wp:posOffset>
                </wp:positionV>
                <wp:extent cx="218440" cy="172081"/>
                <wp:effectExtent l="19050" t="38100" r="48260" b="18419"/>
                <wp:wrapNone/>
                <wp:docPr id="2" name="Connettore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8440" cy="172081"/>
                        </a:xfrm>
                        <a:prstGeom prst="straightConnector1">
                          <a:avLst/>
                        </a:prstGeom>
                        <a:noFill/>
                        <a:ln w="28575" cap="flat">
                          <a:solidFill>
                            <a:srgbClr val="BE4B48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CAE16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" o:spid="_x0000_s1026" type="#_x0000_t32" style="position:absolute;margin-left:-7.15pt;margin-top:12.3pt;width:17.2pt;height:13.5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" strokecolor="#be4b48" strokeweight="2.25pt">
                <v:stroke endarrow="open" joinstyle="miter"/>
              </v:shape>
            </w:pict>
          </mc:Fallback>
        </mc:AlternateConten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non sussistono relazioni di parentela o affinità con i dipendenti dell’Agenzia del Demanio</w:t>
      </w:r>
      <w:r>
        <w:rPr>
          <w:rFonts w:ascii="Arial" w:hAnsi="Arial" w:cs="Arial"/>
        </w:rPr>
        <w:t>;</w:t>
      </w:r>
    </w:p>
    <w:p w:rsidR="00E70F3D" w:rsidRDefault="00D50F6B">
      <w:pPr>
        <w:tabs>
          <w:tab w:val="left" w:pos="360"/>
        </w:tabs>
        <w:spacing w:after="120"/>
        <w:jc w:val="center"/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-72886</wp:posOffset>
                </wp:positionH>
                <wp:positionV relativeFrom="paragraph">
                  <wp:posOffset>44348</wp:posOffset>
                </wp:positionV>
                <wp:extent cx="232412" cy="283848"/>
                <wp:effectExtent l="19050" t="19050" r="72388" b="40002"/>
                <wp:wrapNone/>
                <wp:docPr id="3" name="Connettore 2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412" cy="283848"/>
                        </a:xfrm>
                        <a:prstGeom prst="straightConnector1">
                          <a:avLst/>
                        </a:prstGeom>
                        <a:noFill/>
                        <a:ln w="28575" cap="flat">
                          <a:solidFill>
                            <a:srgbClr val="BE4B48"/>
                          </a:solidFill>
                          <a:prstDash val="solid"/>
                          <a:miter/>
                          <a:tailEnd type="arrow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7395990" id="Connettore 2 2" o:spid="_x0000_s1026" type="#_x0000_t32" style="position:absolute;margin-left:-5.75pt;margin-top:3.5pt;width:18.3pt;height:22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" strokecolor="#be4b48" strokeweight="2.25pt">
                <v:stroke endarrow="open" joinstyle="miter"/>
              </v:shape>
            </w:pict>
          </mc:Fallback>
        </mc:AlternateContent>
      </w:r>
      <w:r>
        <w:rPr>
          <w:rFonts w:ascii="Arial" w:hAnsi="Arial" w:cs="Arial"/>
          <w:b/>
          <w:u w:val="single"/>
        </w:rPr>
        <w:t>ovvero</w:t>
      </w:r>
    </w:p>
    <w:p w:rsidR="00E70F3D" w:rsidRDefault="00D50F6B">
      <w:pPr>
        <w:tabs>
          <w:tab w:val="left" w:pos="360"/>
        </w:tabs>
        <w:spacing w:after="120"/>
        <w:ind w:left="360"/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sussistono relazioni di parentela o affinità con i dipendenti dell’Agenzia del Demanio, che, tuttavia, non hanno determinato alcun vantaggio per facilitare l’affidamento del servizio e si impegna, altresì, ad evitare che tali rapporti determinino eventuali benefici nella fase di esecutiva del contratto</w:t>
      </w:r>
      <w:r>
        <w:rPr>
          <w:rFonts w:ascii="Arial" w:hAnsi="Arial" w:cs="Arial"/>
        </w:rPr>
        <w:t xml:space="preserve">; </w:t>
      </w:r>
    </w:p>
    <w:p w:rsidR="00E70F3D" w:rsidRDefault="00D50F6B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- si obbliga ad informare puntualmente tutto il personale di cui si avvale del presente Patto di integrità e degli obblighi in esso contenuti e a vigilare </w:t>
      </w:r>
      <w:r w:rsidR="001E3CB6">
        <w:rPr>
          <w:rFonts w:ascii="Arial" w:hAnsi="Arial" w:cs="Arial"/>
        </w:rPr>
        <w:t>affinché</w:t>
      </w:r>
      <w:bookmarkStart w:id="2" w:name="_GoBack"/>
      <w:bookmarkEnd w:id="2"/>
      <w:r>
        <w:rPr>
          <w:rFonts w:ascii="Arial" w:hAnsi="Arial" w:cs="Arial"/>
        </w:rPr>
        <w:t xml:space="preserve"> gli impegni sopra indicati siano osservati da tutti i collaboratori e dipendenti nell’esercizio dei compiti loro assegnati;</w:t>
      </w:r>
    </w:p>
    <w:p w:rsidR="00E70F3D" w:rsidRDefault="00D50F6B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- si impegna ad osservare il Modello di organizzazione, gestione e controllo dell’Agenzia ex D.Lgs. 231/2001, reperibile sul sito istituzionale, ed a tenere un comportamento in linea con il relativo Codice Etico e, comunque, tale da non esporre l’Agenzia al rischio dell’applicazione delle sanzioni previste dal predetto decreto; </w:t>
      </w:r>
    </w:p>
    <w:p w:rsidR="00E70F3D" w:rsidRDefault="00D50F6B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si obbliga ad inserire identiche clausole di integrità ed anti-corruzione negli eventuali contratti di subappalto;</w:t>
      </w:r>
    </w:p>
    <w:p w:rsidR="00E70F3D" w:rsidRDefault="00D50F6B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- si impegna a denunciare alle Autorità competenti ogni irregolarità o distorsione di cui sia venuta a conoscenza per quanto attiene l’attività di cui all’oggetto.  </w:t>
      </w:r>
    </w:p>
    <w:p w:rsidR="00E70F3D" w:rsidRDefault="00D50F6B">
      <w:pPr>
        <w:tabs>
          <w:tab w:val="left" w:pos="360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4 - Obblighi a carico dell’Agenzia </w:t>
      </w:r>
    </w:p>
    <w:p w:rsidR="00E70F3D" w:rsidRDefault="00D50F6B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L’Agenzia si impegna ad attivare procedimenti disciplinari nei confronti del personale coinvolto, a vario titolo, nel procedimento di scelta del contraente e nella fase esecutiva del contratto, in caso di accertata violazione dei principi di lealtà e correttezza dell’agire assunti con il presente Patto. </w:t>
      </w:r>
    </w:p>
    <w:p w:rsidR="00E70F3D" w:rsidRDefault="00D50F6B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L’Agenzia assume l’espresso impegno anticorruzione di non offrire, accettare o richiedere somme di denaro o qualsiasi altra ricompensa, vantaggio o beneficio, per facilitare, sia direttamente che indirettamente, l’affidamento e/o gestione del contratto. </w:t>
      </w:r>
    </w:p>
    <w:p w:rsidR="00E70F3D" w:rsidRDefault="00D50F6B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L’Agenzia si obbliga a garantire adeguata pubblicità degli atti inerenti il presente affidamento secondo le modalità previste dalla legge. </w:t>
      </w:r>
    </w:p>
    <w:p w:rsidR="00E70F3D" w:rsidRDefault="00D50F6B">
      <w:pPr>
        <w:tabs>
          <w:tab w:val="left" w:pos="360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5 - Violazione del Patto di Integrità </w:t>
      </w:r>
    </w:p>
    <w:p w:rsidR="00E70F3D" w:rsidRDefault="00D50F6B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La violazione degli impegni anticorruzione assunti con la sottoscrizione del presente Patto di integrità da parte dell’operatore economico potrà comportare, in ragione della fase in cui è accertato l’inadempimento: la risoluzione del contratto con conseguente contestuale segnalazione del fatto </w:t>
      </w:r>
      <w:proofErr w:type="spellStart"/>
      <w:r>
        <w:rPr>
          <w:rFonts w:ascii="Arial" w:hAnsi="Arial" w:cs="Arial"/>
        </w:rPr>
        <w:t>all’Anac</w:t>
      </w:r>
      <w:proofErr w:type="spellEnd"/>
      <w:r>
        <w:rPr>
          <w:rFonts w:ascii="Arial" w:hAnsi="Arial" w:cs="Arial"/>
        </w:rPr>
        <w:t xml:space="preserve">. </w:t>
      </w:r>
    </w:p>
    <w:p w:rsidR="00E70F3D" w:rsidRDefault="00D50F6B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La violazione delle obbligazioni assunte viene dichiarata dall’Agenzia a conclusione di un apposito procedimento di verifica, con le garanzie del contraddittorio per l’operatore economico interessato. L’Agenzia comunica l’avvio del procedimento d’ufficio all’operatore economico tramite comunicazione, a mezzo PEC, contenente sintetica motivazione. Eventuali controdeduzioni dovranno pervenire entro 15 giorni. L’Agenzia, decorsi 15 giorni dal ricevimento delle stesse, si pronuncerà definitivamente in merito alla violazione.</w:t>
      </w:r>
    </w:p>
    <w:p w:rsidR="00E70F3D" w:rsidRDefault="00D50F6B">
      <w:pPr>
        <w:tabs>
          <w:tab w:val="left" w:pos="360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6 - Controversie </w:t>
      </w:r>
    </w:p>
    <w:p w:rsidR="00E70F3D" w:rsidRDefault="00D50F6B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Ogni controversia relativa all’interpretazione ed all’esecuzione del presente Patto di Integrità tra l’Agenzia ed i concorrenti ovvero tra gli stessi concorrenti sarà risolta dall’Autorità Giudiziaria competente in relazione al tipo di violazione. </w:t>
      </w:r>
    </w:p>
    <w:p w:rsidR="00E70F3D" w:rsidRDefault="00D50F6B">
      <w:pPr>
        <w:tabs>
          <w:tab w:val="left" w:pos="360"/>
        </w:tabs>
        <w:spacing w:before="100" w:after="100"/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:  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  <w:r>
        <w:rPr>
          <w:rFonts w:ascii="Arial" w:hAnsi="Arial" w:cs="Arial"/>
        </w:rPr>
        <w:t> </w:t>
      </w:r>
    </w:p>
    <w:p w:rsidR="00E70F3D" w:rsidRDefault="00E70F3D">
      <w:pPr>
        <w:tabs>
          <w:tab w:val="left" w:pos="360"/>
        </w:tabs>
        <w:ind w:left="2126"/>
        <w:jc w:val="center"/>
        <w:rPr>
          <w:rFonts w:ascii="Arial" w:hAnsi="Arial" w:cs="Arial"/>
        </w:rPr>
      </w:pPr>
    </w:p>
    <w:sectPr w:rsidR="00E70F3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095" w:right="1134" w:bottom="1361" w:left="1134" w:header="389" w:footer="28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67A" w:rsidRDefault="0018567A">
      <w:r>
        <w:separator/>
      </w:r>
    </w:p>
  </w:endnote>
  <w:endnote w:type="continuationSeparator" w:id="0">
    <w:p w:rsidR="0018567A" w:rsidRDefault="00185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53A" w:rsidRDefault="00D50F6B">
    <w:pPr>
      <w:pStyle w:val="Pidipagina"/>
      <w:jc w:val="right"/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1E3CB6"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</w:p>
  <w:p w:rsidR="009C753A" w:rsidRDefault="001E3CB6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53A" w:rsidRDefault="00D50F6B">
    <w:pPr>
      <w:pStyle w:val="Pidipagina"/>
      <w:jc w:val="right"/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1E3CB6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  <w:p w:rsidR="009C753A" w:rsidRDefault="001E3C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67A" w:rsidRDefault="0018567A">
      <w:r>
        <w:rPr>
          <w:color w:val="000000"/>
        </w:rPr>
        <w:separator/>
      </w:r>
    </w:p>
  </w:footnote>
  <w:footnote w:type="continuationSeparator" w:id="0">
    <w:p w:rsidR="0018567A" w:rsidRDefault="0018567A">
      <w:r>
        <w:continuationSeparator/>
      </w:r>
    </w:p>
  </w:footnote>
  <w:footnote w:id="1">
    <w:p w:rsidR="00E70F3D" w:rsidRDefault="00D50F6B">
      <w:r>
        <w:rPr>
          <w:rStyle w:val="Rimandonotaapidipagina"/>
        </w:rPr>
        <w:footnoteRef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Nota: </w:t>
      </w:r>
    </w:p>
    <w:p w:rsidR="00E70F3D" w:rsidRDefault="00D50F6B">
      <w:pPr>
        <w:numPr>
          <w:ilvl w:val="0"/>
          <w:numId w:val="1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società, dal legale rappresentante/procuratore;</w:t>
      </w:r>
    </w:p>
    <w:p w:rsidR="00E70F3D" w:rsidRDefault="00D50F6B">
      <w:pPr>
        <w:numPr>
          <w:ilvl w:val="0"/>
          <w:numId w:val="1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raggruppamento temporaneo costituito, dal legale rappresentante della mandataria/capofila;</w:t>
      </w:r>
    </w:p>
    <w:p w:rsidR="00E70F3D" w:rsidRDefault="00D50F6B">
      <w:pPr>
        <w:numPr>
          <w:ilvl w:val="0"/>
          <w:numId w:val="1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nel caso di raggruppamento temporaneo non ancora costituiti, dal legale rappresentante di ciascuno dei soggetti che costituiranno il raggruppamento;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53A" w:rsidRDefault="001E3CB6">
    <w:pPr>
      <w:pStyle w:val="Intestazione"/>
      <w:pBdr>
        <w:bottom w:val="single" w:sz="4" w:space="16" w:color="BFBFBF"/>
      </w:pBdr>
      <w:jc w:val="right"/>
      <w:rPr>
        <w:rFonts w:ascii="Arial" w:hAnsi="Arial" w:cs="Arial"/>
        <w:color w:val="80808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53A" w:rsidRDefault="00D50F6B">
    <w:pPr>
      <w:pStyle w:val="Intestazione"/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color w:val="808080"/>
        <w:sz w:val="20"/>
        <w:szCs w:val="20"/>
      </w:rPr>
      <w:tab/>
    </w:r>
  </w:p>
  <w:p w:rsidR="009C753A" w:rsidRDefault="00D50F6B">
    <w:pPr>
      <w:pStyle w:val="Intestazion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  <w:p w:rsidR="009C753A" w:rsidRDefault="001E3CB6">
    <w:pPr>
      <w:pStyle w:val="Intestazione"/>
      <w:rPr>
        <w:rFonts w:ascii="Arial" w:hAnsi="Arial" w:cs="Arial"/>
        <w:color w:val="8080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E74335"/>
    <w:multiLevelType w:val="multilevel"/>
    <w:tmpl w:val="2BC4684C"/>
    <w:lvl w:ilvl="0">
      <w:numFmt w:val="bullet"/>
      <w:lvlText w:val="-"/>
      <w:lvlJc w:val="left"/>
      <w:pPr>
        <w:ind w:left="720" w:hanging="360"/>
      </w:pPr>
      <w:rPr>
        <w:rFonts w:ascii="Garamond" w:hAnsi="Garamond"/>
        <w:b/>
        <w:i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F3D"/>
    <w:rsid w:val="00005E59"/>
    <w:rsid w:val="00086E8A"/>
    <w:rsid w:val="0018567A"/>
    <w:rsid w:val="001E3CB6"/>
    <w:rsid w:val="00346952"/>
    <w:rsid w:val="00433E3A"/>
    <w:rsid w:val="00443B30"/>
    <w:rsid w:val="007F0D50"/>
    <w:rsid w:val="00903FF7"/>
    <w:rsid w:val="00906A04"/>
    <w:rsid w:val="00B463D7"/>
    <w:rsid w:val="00B763F6"/>
    <w:rsid w:val="00BC4EB6"/>
    <w:rsid w:val="00CF3331"/>
    <w:rsid w:val="00D50F6B"/>
    <w:rsid w:val="00DC4DF3"/>
    <w:rsid w:val="00E1597A"/>
    <w:rsid w:val="00E7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7AADC"/>
  <w15:docId w15:val="{487D1DD6-D62B-4C2A-818F-26FE3FE7E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color w:val="000000"/>
    </w:rPr>
  </w:style>
  <w:style w:type="paragraph" w:styleId="Titolo2">
    <w:name w:val="heading 2"/>
    <w:basedOn w:val="Normale"/>
    <w:next w:val="Normale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Titolo2Carattere">
    <w:name w:val="Titolo 2 Carattere"/>
    <w:basedOn w:val="Carpredefinitoparagrafo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rPr>
      <w:rFonts w:ascii="Book Antiqua" w:hAnsi="Book Antiqua"/>
      <w:sz w:val="24"/>
      <w:szCs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rPr>
      <w:rFonts w:ascii="Book Antiqua" w:hAnsi="Book Antiqua"/>
      <w:sz w:val="24"/>
    </w:rPr>
  </w:style>
  <w:style w:type="paragraph" w:styleId="Rientrocorpodeltesto">
    <w:name w:val="Body Text Indent"/>
    <w:basedOn w:val="Normale"/>
    <w:pPr>
      <w:spacing w:after="120"/>
      <w:ind w:firstLine="567"/>
    </w:pPr>
    <w:rPr>
      <w:rFonts w:ascii="Times New Roman" w:hAnsi="Times New Roman"/>
    </w:rPr>
  </w:style>
  <w:style w:type="character" w:customStyle="1" w:styleId="RientrocorpodeltestoCarattere">
    <w:name w:val="Rientro corpo del testo Carattere"/>
    <w:basedOn w:val="Carpredefinitoparagrafo"/>
    <w:rPr>
      <w:rFonts w:ascii="Book Antiqua" w:hAnsi="Book Antiqua"/>
      <w:sz w:val="24"/>
      <w:szCs w:val="24"/>
    </w:rPr>
  </w:style>
  <w:style w:type="character" w:styleId="Numeropagina">
    <w:name w:val="page number"/>
    <w:basedOn w:val="Carpredefinitoparagrafo"/>
    <w:rPr>
      <w:rFonts w:cs="Times New Roman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paragraph" w:customStyle="1" w:styleId="Corpodeltesto">
    <w:name w:val="Corpo del testo"/>
    <w:basedOn w:val="Normale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Segoe UI" w:hAnsi="Segoe UI" w:cs="Segoe UI"/>
      <w:sz w:val="18"/>
      <w:szCs w:val="18"/>
    </w:rPr>
  </w:style>
  <w:style w:type="paragraph" w:styleId="Corpodeltesto2">
    <w:name w:val="Body Text 2"/>
    <w:basedOn w:val="Normal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rPr>
      <w:rFonts w:ascii="Book Antiqua" w:hAnsi="Book Antiqua"/>
      <w:sz w:val="24"/>
    </w:rPr>
  </w:style>
  <w:style w:type="paragraph" w:styleId="Paragrafoelenco">
    <w:name w:val="List Paragraph"/>
    <w:basedOn w:val="Normale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style263">
    <w:name w:val="style263"/>
    <w:basedOn w:val="Normale"/>
    <w:pPr>
      <w:spacing w:before="100" w:after="100"/>
      <w:jc w:val="left"/>
    </w:pPr>
    <w:rPr>
      <w:rFonts w:ascii="Times New Roman" w:hAnsi="Times New Roman"/>
      <w:color w:val="0066FF"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rFonts w:ascii="Book Antiqua" w:hAnsi="Book Antiqua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character" w:styleId="Rimandocommento">
    <w:name w:val="annotation reference"/>
    <w:basedOn w:val="Carpredefinitoparagrafo"/>
    <w:rPr>
      <w:sz w:val="16"/>
    </w:rPr>
  </w:style>
  <w:style w:type="paragraph" w:styleId="Testocommento">
    <w:name w:val="annotation text"/>
    <w:basedOn w:val="Normal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Book Antiqua" w:hAnsi="Book Antiqua"/>
      <w:b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PP1044432\Desktop\Documents\GARA%20CUSTODE%20ACQUIRENTE%202023\PROCEDURA%20GARA%202023%20C6\ATTI%20DI%20GARA%20FORLI'-CESENA\ALLEGATI%20FERRARA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1</TotalTime>
  <Pages>3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CENSRVVSCM005</Company>
  <LinksUpToDate>false</LinksUpToDate>
  <CharactersWithSpaces>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MASTROMAURO</dc:creator>
  <cp:lastModifiedBy>Emilia Castellucci</cp:lastModifiedBy>
  <cp:revision>3</cp:revision>
  <cp:lastPrinted>2018-11-30T14:24:00Z</cp:lastPrinted>
  <dcterms:created xsi:type="dcterms:W3CDTF">2024-06-28T08:42:00Z</dcterms:created>
  <dcterms:modified xsi:type="dcterms:W3CDTF">2024-08-27T07:52:00Z</dcterms:modified>
</cp:coreProperties>
</file>