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6FC4" w14:textId="77777777" w:rsidR="006C6094" w:rsidRPr="006C6094" w:rsidRDefault="006C6094" w:rsidP="006C6094">
      <w:pPr>
        <w:spacing w:line="276" w:lineRule="auto"/>
        <w:jc w:val="center"/>
        <w:rPr>
          <w:rFonts w:ascii="Arial" w:eastAsia="Calibri" w:hAnsi="Arial" w:cs="Arial"/>
          <w:b/>
          <w:sz w:val="24"/>
          <w:szCs w:val="24"/>
        </w:rPr>
      </w:pPr>
      <w:r w:rsidRPr="006C6094">
        <w:rPr>
          <w:rFonts w:ascii="Arial" w:eastAsia="Calibri" w:hAnsi="Arial" w:cs="Arial"/>
          <w:b/>
          <w:sz w:val="24"/>
          <w:szCs w:val="24"/>
        </w:rPr>
        <w:t>STIMA DEI COSTI MEDI DI RIFERIMENTO DEI SERVIZI DI ACCOGLIENZA</w:t>
      </w:r>
    </w:p>
    <w:p w14:paraId="76508153" w14:textId="77777777" w:rsidR="006C6094" w:rsidRPr="006C6094" w:rsidRDefault="006C6094" w:rsidP="006C6094">
      <w:pPr>
        <w:spacing w:line="276" w:lineRule="auto"/>
        <w:jc w:val="both"/>
        <w:rPr>
          <w:rFonts w:ascii="Arial" w:eastAsia="Calibri" w:hAnsi="Arial" w:cs="Arial"/>
          <w:b/>
          <w:sz w:val="24"/>
          <w:szCs w:val="24"/>
          <w:u w:val="single"/>
        </w:rPr>
      </w:pPr>
      <w:r w:rsidRPr="006C6094">
        <w:rPr>
          <w:rFonts w:ascii="Arial" w:eastAsia="Calibri" w:hAnsi="Arial" w:cs="Arial"/>
          <w:b/>
          <w:sz w:val="24"/>
          <w:szCs w:val="24"/>
          <w:u w:val="single"/>
        </w:rPr>
        <w:t xml:space="preserve">Parametri utilizzati per la determinazione dei valori economici       </w:t>
      </w:r>
    </w:p>
    <w:p w14:paraId="097E462A" w14:textId="175AC4DE"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COSTO DEL PERSONALE</w:t>
      </w:r>
      <w:r w:rsidRPr="006C6094">
        <w:rPr>
          <w:rFonts w:ascii="Arial" w:eastAsia="Calibri" w:hAnsi="Arial" w:cs="Arial"/>
          <w:sz w:val="23"/>
          <w:szCs w:val="23"/>
        </w:rPr>
        <w:t xml:space="preserve">: </w:t>
      </w:r>
      <w:r w:rsidR="00000F4B" w:rsidRPr="00000F4B">
        <w:rPr>
          <w:rFonts w:ascii="Arial" w:eastAsia="Calibri" w:hAnsi="Arial" w:cs="Arial"/>
          <w:sz w:val="23"/>
          <w:szCs w:val="23"/>
        </w:rPr>
        <w:t>tabelle approvate dal Ministero del lavoro con Decreto Direttoriale n. 7 del 17/02/2020, in relazione al CCNL per le lavoratrici ed i lavoratori delle cooperative del settore socio-sanitario-assistenziale-educativo e di inserimento lavorativo</w:t>
      </w:r>
      <w:r w:rsidR="00000F4B">
        <w:rPr>
          <w:rFonts w:ascii="Arial" w:eastAsia="Calibri" w:hAnsi="Arial" w:cs="Arial"/>
          <w:sz w:val="23"/>
          <w:szCs w:val="23"/>
        </w:rPr>
        <w:t>.</w:t>
      </w:r>
      <w:bookmarkStart w:id="0" w:name="_GoBack"/>
      <w:bookmarkEnd w:id="0"/>
    </w:p>
    <w:p w14:paraId="4C567A38" w14:textId="77777777" w:rsidR="006C6094" w:rsidRPr="006C6094" w:rsidRDefault="006C6094" w:rsidP="006C6094">
      <w:pPr>
        <w:spacing w:after="0" w:line="276" w:lineRule="auto"/>
        <w:ind w:right="284"/>
        <w:jc w:val="both"/>
        <w:rPr>
          <w:rFonts w:ascii="Calibri" w:eastAsia="Calibri" w:hAnsi="Calibri" w:cs="Times New Roman"/>
          <w:sz w:val="24"/>
          <w:szCs w:val="24"/>
        </w:rPr>
      </w:pPr>
    </w:p>
    <w:p w14:paraId="2C9BA2B1"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DEI PASTI</w:t>
      </w:r>
      <w:r w:rsidRPr="006C6094">
        <w:rPr>
          <w:rFonts w:ascii="Arial" w:eastAsia="Calibri" w:hAnsi="Arial" w:cs="Arial"/>
          <w:sz w:val="23"/>
          <w:szCs w:val="23"/>
        </w:rPr>
        <w:t xml:space="preserve">: prezzi medi della giornata alimentare (prima colazione, pranzo e cena) in ambito sanitario per i servizi di ristorazione di cui alla delibera ANAC n. 1204 del 23/11/2016, aggiornata dalla predetta Autorità nel mese di febbraio 2022. Tali prezzi sono stati ulteriormente </w:t>
      </w:r>
      <w:r w:rsidRPr="00E15B98">
        <w:rPr>
          <w:rFonts w:ascii="Arial" w:eastAsia="Calibri" w:hAnsi="Arial" w:cs="Arial"/>
          <w:b/>
          <w:sz w:val="23"/>
          <w:szCs w:val="23"/>
        </w:rPr>
        <w:t>attualizzati sulla base dell’indice NIC pubblicato dall’Istat</w:t>
      </w:r>
      <w:r w:rsidRPr="006C6094">
        <w:rPr>
          <w:rFonts w:ascii="Arial" w:eastAsia="Calibri" w:hAnsi="Arial" w:cs="Arial"/>
          <w:sz w:val="23"/>
          <w:szCs w:val="23"/>
        </w:rPr>
        <w:t xml:space="preserve"> (Indice Nazionale dei prezzi al consumo per l’Intera Collettività) preso a riferimento nella predetta delibera.</w:t>
      </w:r>
    </w:p>
    <w:p w14:paraId="69BD2CCD" w14:textId="77777777" w:rsidR="006C6094" w:rsidRPr="006C6094" w:rsidRDefault="006C6094" w:rsidP="006C6094">
      <w:pPr>
        <w:ind w:left="720"/>
        <w:contextualSpacing/>
        <w:rPr>
          <w:rFonts w:ascii="Calibri" w:eastAsia="Calibri" w:hAnsi="Calibri" w:cs="Times New Roman"/>
          <w:sz w:val="24"/>
          <w:szCs w:val="24"/>
        </w:rPr>
      </w:pPr>
    </w:p>
    <w:p w14:paraId="196C9FC6"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DERRATE ALIMENTARI</w:t>
      </w:r>
      <w:r w:rsidRPr="006C6094">
        <w:rPr>
          <w:rFonts w:ascii="Arial" w:eastAsia="Calibri" w:hAnsi="Arial" w:cs="Arial"/>
          <w:sz w:val="23"/>
          <w:szCs w:val="23"/>
        </w:rPr>
        <w:t xml:space="preserve">: listini di riferimento di convenzioni stipulate da centrali di committenza regionali riportanti la stima del valore medio delle derrate alimentari, </w:t>
      </w:r>
      <w:r w:rsidRPr="00E15B98">
        <w:rPr>
          <w:rFonts w:ascii="Arial" w:eastAsia="Calibri" w:hAnsi="Arial" w:cs="Arial"/>
          <w:b/>
          <w:sz w:val="23"/>
          <w:szCs w:val="23"/>
        </w:rPr>
        <w:t xml:space="preserve">attualizzati sulla base </w:t>
      </w:r>
      <w:r w:rsidRPr="00E15B98">
        <w:rPr>
          <w:rFonts w:ascii="CourierNewPSMT" w:eastAsia="Calibri" w:hAnsi="CourierNewPSMT" w:cs="CourierNewPSMT"/>
          <w:b/>
          <w:sz w:val="23"/>
          <w:szCs w:val="23"/>
        </w:rPr>
        <w:t>dell’</w:t>
      </w:r>
      <w:r w:rsidRPr="00E15B98">
        <w:rPr>
          <w:rFonts w:ascii="Arial" w:eastAsia="Calibri" w:hAnsi="Arial" w:cs="Arial"/>
          <w:b/>
          <w:sz w:val="23"/>
          <w:szCs w:val="23"/>
        </w:rPr>
        <w:t>l’indice FOI pubblicato dall’Istat</w:t>
      </w:r>
      <w:r w:rsidRPr="006C6094">
        <w:rPr>
          <w:rFonts w:ascii="Arial" w:eastAsia="Calibri" w:hAnsi="Arial" w:cs="Arial"/>
          <w:sz w:val="23"/>
          <w:szCs w:val="23"/>
        </w:rPr>
        <w:t xml:space="preserve"> (indice dei prezzi al consumo per le Famiglie di Operi e Impiegati, al netto dei tabacchi).</w:t>
      </w:r>
    </w:p>
    <w:p w14:paraId="773A2699" w14:textId="77777777" w:rsidR="006C6094" w:rsidRPr="006C6094" w:rsidRDefault="006C6094" w:rsidP="006C6094">
      <w:pPr>
        <w:ind w:left="720"/>
        <w:contextualSpacing/>
        <w:rPr>
          <w:rFonts w:ascii="Calibri" w:eastAsia="Calibri" w:hAnsi="Calibri" w:cs="Times New Roman"/>
          <w:sz w:val="24"/>
          <w:szCs w:val="24"/>
        </w:rPr>
      </w:pPr>
    </w:p>
    <w:p w14:paraId="0CE7BA37" w14:textId="77777777" w:rsidR="006C6094" w:rsidRPr="006C6094" w:rsidRDefault="006C6094" w:rsidP="006C6094">
      <w:pPr>
        <w:numPr>
          <w:ilvl w:val="0"/>
          <w:numId w:val="3"/>
        </w:numPr>
        <w:spacing w:after="0" w:line="276" w:lineRule="auto"/>
        <w:ind w:right="284"/>
        <w:contextualSpacing/>
        <w:jc w:val="both"/>
        <w:rPr>
          <w:rFonts w:ascii="Arial" w:eastAsia="Calibri" w:hAnsi="Arial" w:cs="Arial"/>
          <w:b/>
          <w:sz w:val="23"/>
          <w:szCs w:val="23"/>
        </w:rPr>
      </w:pPr>
      <w:r w:rsidRPr="006C6094">
        <w:rPr>
          <w:rFonts w:ascii="Arial" w:eastAsia="Calibri" w:hAnsi="Arial" w:cs="Arial"/>
          <w:b/>
          <w:sz w:val="23"/>
          <w:szCs w:val="23"/>
        </w:rPr>
        <w:t xml:space="preserve">SERVIZIO DI PULIZIA E DI IGIENE AMBIENTALE: </w:t>
      </w:r>
    </w:p>
    <w:p w14:paraId="30DF828F" w14:textId="77777777" w:rsidR="006C6094" w:rsidRPr="006C6094" w:rsidRDefault="006C6094" w:rsidP="006C6094">
      <w:pPr>
        <w:spacing w:after="0" w:line="276" w:lineRule="auto"/>
        <w:ind w:left="786" w:right="284"/>
        <w:contextualSpacing/>
        <w:jc w:val="both"/>
        <w:rPr>
          <w:rFonts w:ascii="Arial" w:eastAsia="Calibri" w:hAnsi="Arial" w:cs="Arial"/>
          <w:b/>
          <w:sz w:val="23"/>
          <w:szCs w:val="23"/>
        </w:rPr>
      </w:pPr>
    </w:p>
    <w:p w14:paraId="09A072BB"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prezzi a mq. della Convenzione </w:t>
      </w:r>
      <w:proofErr w:type="spellStart"/>
      <w:r w:rsidRPr="006C6094">
        <w:rPr>
          <w:rFonts w:ascii="Arial" w:eastAsia="Calibri" w:hAnsi="Arial" w:cs="Arial"/>
          <w:sz w:val="23"/>
          <w:szCs w:val="23"/>
        </w:rPr>
        <w:t>Consip</w:t>
      </w:r>
      <w:proofErr w:type="spellEnd"/>
      <w:r w:rsidRPr="006C6094">
        <w:rPr>
          <w:rFonts w:ascii="Arial" w:eastAsia="Calibri" w:hAnsi="Arial" w:cs="Arial"/>
          <w:sz w:val="23"/>
          <w:szCs w:val="23"/>
        </w:rPr>
        <w:t xml:space="preserve"> “S</w:t>
      </w:r>
      <w:r w:rsidRPr="006C6094">
        <w:rPr>
          <w:rFonts w:ascii="Arial" w:eastAsia="Calibri" w:hAnsi="Arial" w:cs="Arial"/>
          <w:i/>
          <w:sz w:val="23"/>
          <w:szCs w:val="23"/>
        </w:rPr>
        <w:t xml:space="preserve">ervizi di </w:t>
      </w:r>
      <w:proofErr w:type="spellStart"/>
      <w:r w:rsidRPr="006C6094">
        <w:rPr>
          <w:rFonts w:ascii="Arial" w:eastAsia="Calibri" w:hAnsi="Arial" w:cs="Arial"/>
          <w:i/>
          <w:sz w:val="23"/>
          <w:szCs w:val="23"/>
        </w:rPr>
        <w:t>Facility</w:t>
      </w:r>
      <w:proofErr w:type="spellEnd"/>
      <w:r w:rsidRPr="006C6094">
        <w:rPr>
          <w:rFonts w:ascii="Arial" w:eastAsia="Calibri" w:hAnsi="Arial" w:cs="Arial"/>
          <w:i/>
          <w:sz w:val="23"/>
          <w:szCs w:val="23"/>
        </w:rPr>
        <w:t xml:space="preserve"> Management per immobili, adibiti prevalentemente ad uso ufficio, in uso a qualsiasi titolo alle Pubbliche Amministrazioni Lotto 8</w:t>
      </w:r>
      <w:r w:rsidRPr="006C6094">
        <w:rPr>
          <w:rFonts w:ascii="Arial" w:eastAsia="Calibri"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6B5E2E0C"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Detto costo medio tiene conto inoltre dei seguenti criteri:</w:t>
      </w:r>
    </w:p>
    <w:p w14:paraId="17197274"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frequenze degli interventi di cui alla tabella “frequenze pulizie” allegata al capitolato nonché quantificazione stimata delle superfici in base a quanto previsto dal decreto del Ministero della sanità del 5/7/1975, che prevede una superficie abitabile non inferiore a mq.14 per i primi 4 abitanti e mq. 10 per ciascuno dei successivi;</w:t>
      </w:r>
    </w:p>
    <w:p w14:paraId="46489BCA" w14:textId="3B671CF2" w:rsidR="006C6094" w:rsidRPr="00C734AD" w:rsidRDefault="006C6094" w:rsidP="006C6094">
      <w:pPr>
        <w:numPr>
          <w:ilvl w:val="0"/>
          <w:numId w:val="1"/>
        </w:numPr>
        <w:spacing w:line="276" w:lineRule="auto"/>
        <w:contextualSpacing/>
        <w:jc w:val="both"/>
        <w:rPr>
          <w:rFonts w:ascii="Arial" w:eastAsia="Calibri" w:hAnsi="Arial" w:cs="Arial"/>
          <w:sz w:val="23"/>
          <w:szCs w:val="23"/>
        </w:rPr>
      </w:pPr>
      <w:r w:rsidRPr="00C734AD">
        <w:rPr>
          <w:rFonts w:ascii="Arial" w:eastAsia="Calibri" w:hAnsi="Arial" w:cs="Arial"/>
          <w:sz w:val="23"/>
          <w:szCs w:val="23"/>
        </w:rPr>
        <w:t>costo orario della manodopera calcolato applicando il decreto del Ministero del lavoro e delle politiche sociali del 13/02/2014 (tabel</w:t>
      </w:r>
      <w:r w:rsidR="003F1D2C" w:rsidRPr="00E15B98">
        <w:rPr>
          <w:rFonts w:ascii="Arial" w:eastAsia="Calibri" w:hAnsi="Arial" w:cs="Arial"/>
          <w:sz w:val="23"/>
          <w:szCs w:val="23"/>
        </w:rPr>
        <w:t>la operai nazionale 2° livello),</w:t>
      </w:r>
      <w:r w:rsidR="00C734AD" w:rsidRPr="00E15B98">
        <w:rPr>
          <w:rFonts w:ascii="Arial" w:eastAsia="Calibri" w:hAnsi="Arial" w:cs="Arial"/>
          <w:sz w:val="23"/>
          <w:szCs w:val="23"/>
        </w:rPr>
        <w:t xml:space="preserve"> </w:t>
      </w:r>
      <w:r w:rsidR="003F1D2C" w:rsidRPr="00E15B98">
        <w:rPr>
          <w:rFonts w:ascii="Arial" w:eastAsia="Calibri" w:hAnsi="Arial" w:cs="Arial"/>
          <w:sz w:val="23"/>
          <w:szCs w:val="23"/>
        </w:rPr>
        <w:t>come aggiornato, da ultimo, con Decreto Direttoriale del predetto Ministero n. 52 del 27 settembre 2023;</w:t>
      </w:r>
    </w:p>
    <w:p w14:paraId="6A8D717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 xml:space="preserve">produttività oraria di un operaio addetto al turno di pulizia (200 </w:t>
      </w:r>
      <w:proofErr w:type="gramStart"/>
      <w:r w:rsidRPr="006C6094">
        <w:rPr>
          <w:rFonts w:ascii="Arial" w:eastAsia="Calibri" w:hAnsi="Arial" w:cs="Arial"/>
          <w:sz w:val="23"/>
          <w:szCs w:val="23"/>
        </w:rPr>
        <w:t>mq./</w:t>
      </w:r>
      <w:proofErr w:type="gramEnd"/>
      <w:r w:rsidRPr="006C6094">
        <w:rPr>
          <w:rFonts w:ascii="Arial" w:eastAsia="Calibri" w:hAnsi="Arial" w:cs="Arial"/>
          <w:sz w:val="23"/>
          <w:szCs w:val="23"/>
        </w:rPr>
        <w:t>ora lavoro);</w:t>
      </w:r>
    </w:p>
    <w:p w14:paraId="4F45ECD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incidenza dei costi relativi al materiale utilizzato ed alle attrezzature impiegate nonché delle spese generali per un totale complessivo pari al 12% forfettario del costo della manodopera;</w:t>
      </w:r>
    </w:p>
    <w:p w14:paraId="489AF5ED"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conseguimento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7BD9636E" w14:textId="77777777" w:rsidR="006C6094" w:rsidRPr="006C6094" w:rsidRDefault="006C6094" w:rsidP="006C6094">
      <w:pPr>
        <w:spacing w:line="276" w:lineRule="auto"/>
        <w:ind w:left="1080"/>
        <w:contextualSpacing/>
        <w:jc w:val="both"/>
        <w:rPr>
          <w:rFonts w:ascii="Arial" w:eastAsia="Calibri" w:hAnsi="Arial" w:cs="Arial"/>
          <w:sz w:val="23"/>
          <w:szCs w:val="23"/>
        </w:rPr>
      </w:pPr>
    </w:p>
    <w:p w14:paraId="5DC86719"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prezzi indicati nella “</w:t>
      </w:r>
      <w:r w:rsidRPr="006C6094">
        <w:rPr>
          <w:rFonts w:ascii="Arial" w:eastAsia="Calibri" w:hAnsi="Arial" w:cs="Arial"/>
          <w:i/>
          <w:sz w:val="23"/>
          <w:szCs w:val="23"/>
        </w:rPr>
        <w:t>Gara a procedura aperta per l’affidamento dei servizi di pulizia ed igiene ambientale nonché degli altri servizi aggiuntivi da eseguirsi negli immobili adibiti ad uso caserma per le PA</w:t>
      </w:r>
      <w:r w:rsidRPr="006C6094">
        <w:rPr>
          <w:rFonts w:ascii="Arial" w:eastAsia="Calibri"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6C2818E6"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In tal caso, il</w:t>
      </w:r>
      <w:r w:rsidRPr="006C6094">
        <w:rPr>
          <w:rFonts w:ascii="Arial" w:eastAsia="Calibri" w:hAnsi="Arial" w:cs="Arial"/>
          <w:bCs/>
          <w:sz w:val="23"/>
          <w:szCs w:val="23"/>
        </w:rPr>
        <w:t xml:space="preserve"> costo di riferimento complessivo è stato stimato</w:t>
      </w:r>
      <w:r w:rsidRPr="006C6094">
        <w:rPr>
          <w:rFonts w:ascii="Arial" w:eastAsia="Calibri" w:hAnsi="Arial" w:cs="Arial"/>
          <w:sz w:val="23"/>
          <w:szCs w:val="23"/>
        </w:rPr>
        <w:t xml:space="preserve"> combinando i prezzi delle singole aree omogenee (camere, uffici, servizi igienici, sale polifunzionali, aree esterne, ecc.) riportate nella sottostante tabella, ipotizzando una superficie di circa 15 mq. pro-capite ripartita in misura percentuale fra i vari ambienti interni ed esterni e tenendo conto delle frequenze degli interventi indicate nella tabella Allegato 6-bis del capitolato.</w:t>
      </w:r>
    </w:p>
    <w:p w14:paraId="59502232" w14:textId="77777777" w:rsidR="006C6094" w:rsidRPr="00E15B98" w:rsidRDefault="006C6094" w:rsidP="006C6094">
      <w:pPr>
        <w:spacing w:line="276" w:lineRule="auto"/>
        <w:ind w:left="1080"/>
        <w:contextualSpacing/>
        <w:jc w:val="both"/>
        <w:rPr>
          <w:rFonts w:ascii="CourierNewPSMT" w:eastAsia="Calibri" w:hAnsi="CourierNewPSMT" w:cs="CourierNewPSMT"/>
          <w:b/>
          <w:strike/>
          <w:sz w:val="23"/>
          <w:szCs w:val="23"/>
        </w:rPr>
      </w:pPr>
      <w:r w:rsidRPr="00E15B98">
        <w:rPr>
          <w:rFonts w:ascii="Arial" w:eastAsia="Calibri" w:hAnsi="Arial" w:cs="Arial"/>
          <w:b/>
          <w:sz w:val="23"/>
          <w:szCs w:val="23"/>
        </w:rPr>
        <w:t xml:space="preserve">I prezzi di riferimento sono stati attualizzati </w:t>
      </w:r>
      <w:r w:rsidRPr="00E15B98">
        <w:rPr>
          <w:rFonts w:ascii="CourierNewPSMT" w:eastAsia="Calibri" w:hAnsi="CourierNewPSMT" w:cs="CourierNewPSMT"/>
          <w:b/>
          <w:sz w:val="23"/>
          <w:szCs w:val="23"/>
        </w:rPr>
        <w:t>sulla base dell’indice FOI pubblicato dall’Istat (indice dei prezzi al consumo per le Famiglie di Operi e Impiegati, al netto dei tabacchi).</w:t>
      </w:r>
    </w:p>
    <w:p w14:paraId="723CAEB4"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Tali prezzi unitari sono stati incrementati del 3% a copertura dei maggiori oneri derivanti dall’aumento delle frequenze di talune prestazioni e dall’inserimento di altre attività non previste dal servizio in questione.</w:t>
      </w:r>
    </w:p>
    <w:p w14:paraId="1D0727BA" w14:textId="77777777" w:rsidR="006C6094" w:rsidRPr="006C6094" w:rsidRDefault="006C6094" w:rsidP="006C6094">
      <w:pPr>
        <w:spacing w:line="276" w:lineRule="auto"/>
        <w:ind w:left="1080"/>
        <w:contextualSpacing/>
        <w:jc w:val="both"/>
        <w:rPr>
          <w:rFonts w:ascii="Arial" w:eastAsia="Calibri" w:hAnsi="Arial" w:cs="Arial"/>
          <w:sz w:val="24"/>
          <w:szCs w:val="24"/>
        </w:rPr>
      </w:pPr>
      <w:r w:rsidRPr="006C6094">
        <w:rPr>
          <w:rFonts w:ascii="Arial" w:eastAsia="Calibri" w:hAnsi="Arial" w:cs="Arial"/>
          <w:sz w:val="23"/>
          <w:szCs w:val="23"/>
        </w:rPr>
        <w:t xml:space="preserve">I prezzi finali ottenuti sono stati infine confrontati con quelli, laddove disponibili, della Convenzione </w:t>
      </w:r>
      <w:proofErr w:type="spellStart"/>
      <w:r w:rsidRPr="006C6094">
        <w:rPr>
          <w:rFonts w:ascii="Arial" w:eastAsia="Calibri" w:hAnsi="Arial" w:cs="Arial"/>
          <w:sz w:val="23"/>
          <w:szCs w:val="23"/>
        </w:rPr>
        <w:t>Consip</w:t>
      </w:r>
      <w:proofErr w:type="spellEnd"/>
      <w:r w:rsidRPr="006C6094">
        <w:rPr>
          <w:rFonts w:ascii="Arial" w:eastAsia="Calibri" w:hAnsi="Arial" w:cs="Arial"/>
          <w:sz w:val="23"/>
          <w:szCs w:val="23"/>
        </w:rPr>
        <w:t xml:space="preserve"> “S</w:t>
      </w:r>
      <w:r w:rsidRPr="006C6094">
        <w:rPr>
          <w:rFonts w:ascii="Arial" w:eastAsia="Calibri" w:hAnsi="Arial" w:cs="Arial"/>
          <w:i/>
          <w:sz w:val="23"/>
          <w:szCs w:val="23"/>
        </w:rPr>
        <w:t xml:space="preserve">ervizi di </w:t>
      </w:r>
      <w:proofErr w:type="spellStart"/>
      <w:r w:rsidRPr="006C6094">
        <w:rPr>
          <w:rFonts w:ascii="Arial" w:eastAsia="Calibri" w:hAnsi="Arial" w:cs="Arial"/>
          <w:i/>
          <w:sz w:val="23"/>
          <w:szCs w:val="23"/>
        </w:rPr>
        <w:t>Facility</w:t>
      </w:r>
      <w:proofErr w:type="spellEnd"/>
      <w:r w:rsidRPr="006C6094">
        <w:rPr>
          <w:rFonts w:ascii="Arial" w:eastAsia="Calibri" w:hAnsi="Arial" w:cs="Arial"/>
          <w:i/>
          <w:sz w:val="23"/>
          <w:szCs w:val="23"/>
        </w:rPr>
        <w:t xml:space="preserve"> Management per immobili, adibiti prevalentemente ad uso ufficio, in uso a qualsiasi titolo alle Pubbliche Amministrazioni Lotto 8</w:t>
      </w:r>
      <w:r w:rsidRPr="006C6094">
        <w:rPr>
          <w:rFonts w:ascii="Arial" w:eastAsia="Calibri" w:hAnsi="Arial" w:cs="Arial"/>
          <w:sz w:val="23"/>
          <w:szCs w:val="23"/>
        </w:rPr>
        <w:t>” edizione 3, standard medio, anch’essi rivalutati, verificandone la compatibilità.</w:t>
      </w:r>
    </w:p>
    <w:p w14:paraId="368BD99F"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r w:rsidRPr="006C6094">
        <w:rPr>
          <w:rFonts w:ascii="Calibri" w:eastAsia="Calibri" w:hAnsi="Calibri" w:cs="Times New Roman"/>
          <w:noProof/>
          <w:lang w:eastAsia="it-IT"/>
        </w:rPr>
        <w:drawing>
          <wp:inline distT="0" distB="0" distL="0" distR="0" wp14:anchorId="510C4284" wp14:editId="5E60A77B">
            <wp:extent cx="6120130" cy="237022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2E287471"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p>
    <w:p w14:paraId="6107D80F" w14:textId="2EF02AF6"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C734AD">
        <w:rPr>
          <w:rFonts w:ascii="Arial" w:eastAsia="Calibri" w:hAnsi="Arial" w:cs="Arial"/>
          <w:sz w:val="23"/>
          <w:szCs w:val="23"/>
        </w:rPr>
        <w:t>Per i servizi di pulizia calcolati a tariffa oraria è stato fatto riferimento alle tabelle allegate al suddetto D.M. 13 febbrai</w:t>
      </w:r>
      <w:r w:rsidR="003F1D2C" w:rsidRPr="00E15B98">
        <w:rPr>
          <w:rFonts w:ascii="Arial" w:eastAsia="Calibri" w:hAnsi="Arial" w:cs="Arial"/>
          <w:sz w:val="23"/>
          <w:szCs w:val="23"/>
        </w:rPr>
        <w:t xml:space="preserve">o 2014, così come aggiornato con il citato Decreto Direttoriale n. 57 del 27/09/2023, </w:t>
      </w:r>
      <w:r w:rsidRPr="00C734AD">
        <w:rPr>
          <w:rFonts w:ascii="Arial" w:eastAsia="Calibri" w:hAnsi="Arial" w:cs="Arial"/>
          <w:sz w:val="23"/>
          <w:szCs w:val="23"/>
        </w:rPr>
        <w:t>relativo al personale dipendente da imprese esercenti servizi di pulizia, disinfestazione e servizi integrati/multiservizi, a decorrere dal mese di luglio 2013.</w:t>
      </w:r>
    </w:p>
    <w:p w14:paraId="04F89C75"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5096E249"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6C6094">
        <w:rPr>
          <w:rFonts w:ascii="Arial" w:eastAsia="Calibri" w:hAnsi="Arial" w:cs="Arial"/>
          <w:sz w:val="23"/>
          <w:szCs w:val="23"/>
        </w:rPr>
        <w:t xml:space="preserve">Per gli </w:t>
      </w:r>
      <w:proofErr w:type="spellStart"/>
      <w:r w:rsidRPr="006C6094">
        <w:rPr>
          <w:rFonts w:ascii="Arial" w:eastAsia="Calibri" w:hAnsi="Arial" w:cs="Arial"/>
          <w:sz w:val="23"/>
          <w:szCs w:val="23"/>
        </w:rPr>
        <w:t>hotspot</w:t>
      </w:r>
      <w:proofErr w:type="spellEnd"/>
      <w:r w:rsidRPr="006C6094">
        <w:rPr>
          <w:rFonts w:ascii="Arial" w:eastAsia="Calibri" w:hAnsi="Arial" w:cs="Arial"/>
          <w:sz w:val="23"/>
          <w:szCs w:val="23"/>
        </w:rPr>
        <w:t>, il costo medio del servizio è stato stimato in misura ridotta tenendo conto delle ipotesi di temporanea inattività del centro riconducibile alla mancata presenza di stranieri ovvero alla ridotta presenza di ospiti per la diminuzione dei flussi migratori.</w:t>
      </w:r>
    </w:p>
    <w:p w14:paraId="4773E3AF"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43F29042" w14:textId="33E9E733" w:rsidR="006C6094" w:rsidRPr="006C6094" w:rsidRDefault="006C6094" w:rsidP="006C6094">
      <w:pPr>
        <w:spacing w:after="0" w:line="276" w:lineRule="auto"/>
        <w:ind w:right="284"/>
        <w:jc w:val="both"/>
        <w:rPr>
          <w:rFonts w:ascii="Arial" w:eastAsia="Calibri" w:hAnsi="Arial" w:cs="Arial"/>
          <w:sz w:val="23"/>
          <w:szCs w:val="23"/>
        </w:rPr>
      </w:pPr>
      <w:r w:rsidRPr="006C6094">
        <w:rPr>
          <w:rFonts w:ascii="Arial" w:eastAsia="Calibri" w:hAnsi="Arial" w:cs="Arial"/>
          <w:b/>
          <w:sz w:val="23"/>
          <w:szCs w:val="23"/>
        </w:rPr>
        <w:t>5. SERVIZIO DI LAVANDERIA:</w:t>
      </w:r>
      <w:r w:rsidRPr="006C6094">
        <w:rPr>
          <w:rFonts w:ascii="Arial" w:eastAsia="Calibri" w:hAnsi="Arial" w:cs="Arial"/>
          <w:sz w:val="23"/>
          <w:szCs w:val="23"/>
        </w:rPr>
        <w:t xml:space="preserve"> costo del servizio di lavanderia/</w:t>
      </w:r>
      <w:proofErr w:type="spellStart"/>
      <w:r w:rsidRPr="006C6094">
        <w:rPr>
          <w:rFonts w:ascii="Arial" w:eastAsia="Calibri" w:hAnsi="Arial" w:cs="Arial"/>
          <w:sz w:val="23"/>
          <w:szCs w:val="23"/>
        </w:rPr>
        <w:t>lavanolo</w:t>
      </w:r>
      <w:proofErr w:type="spellEnd"/>
      <w:r w:rsidRPr="006C6094">
        <w:rPr>
          <w:rFonts w:ascii="Arial" w:eastAsia="Calibri" w:hAnsi="Arial" w:cs="Arial"/>
          <w:sz w:val="23"/>
          <w:szCs w:val="23"/>
        </w:rPr>
        <w:t xml:space="preserve"> in ambito sanitario di cui alla delibera ANAC n. 842 del 27/7/2017 aggiornata dalla predetta Autorità nel mese di </w:t>
      </w:r>
      <w:r w:rsidRPr="006C6094">
        <w:rPr>
          <w:rFonts w:ascii="Arial" w:eastAsia="Calibri" w:hAnsi="Arial" w:cs="Arial"/>
          <w:sz w:val="23"/>
          <w:szCs w:val="23"/>
        </w:rPr>
        <w:lastRenderedPageBreak/>
        <w:t xml:space="preserve">febbraio 2022.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r w:rsidR="00C734AD">
        <w:rPr>
          <w:rFonts w:ascii="Arial" w:eastAsia="Calibri" w:hAnsi="Arial" w:cs="Arial"/>
          <w:sz w:val="23"/>
          <w:szCs w:val="23"/>
        </w:rPr>
        <w:t xml:space="preserve"> </w:t>
      </w:r>
      <w:r w:rsidRPr="006C6094">
        <w:rPr>
          <w:rFonts w:ascii="Arial" w:eastAsia="Calibri" w:hAnsi="Arial" w:cs="Arial"/>
          <w:sz w:val="23"/>
          <w:szCs w:val="23"/>
        </w:rPr>
        <w:t>preso a riferimento nella predetta Delibera.</w:t>
      </w:r>
    </w:p>
    <w:p w14:paraId="4B950C18" w14:textId="77777777" w:rsidR="006C6094" w:rsidRPr="006C6094" w:rsidRDefault="006C6094" w:rsidP="006C6094">
      <w:pPr>
        <w:spacing w:after="0" w:line="276" w:lineRule="auto"/>
        <w:ind w:right="284"/>
        <w:jc w:val="both"/>
        <w:rPr>
          <w:rFonts w:ascii="Arial" w:eastAsia="Calibri" w:hAnsi="Arial" w:cs="Arial"/>
          <w:sz w:val="23"/>
          <w:szCs w:val="23"/>
        </w:rPr>
      </w:pPr>
    </w:p>
    <w:p w14:paraId="2FFDBF93"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6.  SERVIZIO DI TRASPORTO</w:t>
      </w:r>
      <w:r w:rsidRPr="006C6094">
        <w:rPr>
          <w:rFonts w:ascii="Arial" w:eastAsia="Calibri" w:hAnsi="Arial" w:cs="Arial"/>
          <w:sz w:val="23"/>
          <w:szCs w:val="23"/>
        </w:rPr>
        <w:t xml:space="preserve">: listini di riferimento di convenzioni stipulate da centrali di committenza regionali riferiti al servizio di noleggio con conducente, ipotizzando n. 16 viaggi A/R per migrante all’anno e una media di circa 30 km per la singola tratta di andata e ritorno o sola andata compresa in ciascun viaggio.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p>
    <w:p w14:paraId="34AB2F7D" w14:textId="77777777" w:rsidR="006C6094" w:rsidRPr="006C6094" w:rsidRDefault="006C6094" w:rsidP="006C6094">
      <w:pPr>
        <w:spacing w:line="276" w:lineRule="auto"/>
        <w:jc w:val="both"/>
        <w:rPr>
          <w:rFonts w:ascii="Arial" w:eastAsia="Calibri" w:hAnsi="Arial" w:cs="Arial"/>
          <w:sz w:val="23"/>
          <w:szCs w:val="23"/>
        </w:rPr>
      </w:pPr>
    </w:p>
    <w:p w14:paraId="26499405"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7. COSTO BENI IMMOBILI (affitto, affitto figurativo, utenze, TARI)</w:t>
      </w:r>
      <w:r w:rsidRPr="006C6094">
        <w:rPr>
          <w:rFonts w:ascii="Arial" w:eastAsia="Calibri" w:hAnsi="Arial" w:cs="Arial"/>
          <w:sz w:val="23"/>
          <w:szCs w:val="23"/>
        </w:rPr>
        <w:t>:</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Indice FOI pubblicato dall’Istat (</w:t>
      </w:r>
      <w:r w:rsidRPr="00E15B98">
        <w:rPr>
          <w:rFonts w:ascii="Arial" w:eastAsia="Calibri" w:hAnsi="Arial" w:cs="Arial"/>
          <w:b/>
          <w:sz w:val="23"/>
          <w:szCs w:val="23"/>
        </w:rPr>
        <w:t>indice dei prezzi al consumo per le Famiglie di Operi e Impiegati, al netto dei tabacchi</w:t>
      </w:r>
      <w:r w:rsidRPr="006C6094">
        <w:rPr>
          <w:rFonts w:ascii="Arial" w:eastAsia="Calibri" w:hAnsi="Arial" w:cs="Arial"/>
          <w:sz w:val="23"/>
          <w:szCs w:val="23"/>
        </w:rPr>
        <w:t>), con particolare riferimento alla componente n. 4 “</w:t>
      </w:r>
      <w:r w:rsidRPr="006C6094">
        <w:rPr>
          <w:rFonts w:ascii="Arial" w:eastAsia="Calibri" w:hAnsi="Arial" w:cs="Arial"/>
          <w:i/>
          <w:sz w:val="23"/>
          <w:szCs w:val="23"/>
        </w:rPr>
        <w:t>abitazione, acqua, elettricità, gas e altri combustibili</w:t>
      </w:r>
      <w:r w:rsidRPr="006C6094">
        <w:rPr>
          <w:rFonts w:ascii="Arial" w:eastAsia="Calibri" w:hAnsi="Arial" w:cs="Arial"/>
          <w:sz w:val="23"/>
          <w:szCs w:val="23"/>
        </w:rPr>
        <w:t>” Per le strutture collettive si è tenuto conto delle economie di scala conseguibili in ragione dell’incremento del numero degli ospiti.</w:t>
      </w:r>
    </w:p>
    <w:p w14:paraId="6FC053D6" w14:textId="77777777" w:rsidR="006C6094" w:rsidRPr="006C6094" w:rsidRDefault="006C6094" w:rsidP="006C6094">
      <w:pPr>
        <w:spacing w:line="276" w:lineRule="auto"/>
        <w:contextualSpacing/>
        <w:jc w:val="both"/>
        <w:rPr>
          <w:rFonts w:ascii="Arial" w:eastAsia="Calibri" w:hAnsi="Arial" w:cs="Arial"/>
          <w:sz w:val="23"/>
          <w:szCs w:val="23"/>
        </w:rPr>
      </w:pPr>
    </w:p>
    <w:p w14:paraId="405D38A5" w14:textId="77777777" w:rsidR="006C6094" w:rsidRDefault="006C6094" w:rsidP="006C6094">
      <w:pPr>
        <w:spacing w:line="276" w:lineRule="auto"/>
        <w:contextualSpacing/>
        <w:jc w:val="both"/>
        <w:rPr>
          <w:rFonts w:ascii="Arial" w:eastAsia="Calibri" w:hAnsi="Arial" w:cs="Arial"/>
          <w:sz w:val="23"/>
          <w:szCs w:val="23"/>
        </w:rPr>
      </w:pPr>
      <w:r w:rsidRPr="006C6094">
        <w:rPr>
          <w:rFonts w:ascii="Arial" w:eastAsia="Calibri" w:hAnsi="Arial" w:cs="Arial"/>
          <w:b/>
          <w:sz w:val="23"/>
          <w:szCs w:val="23"/>
        </w:rPr>
        <w:t xml:space="preserve">8. FORNITURA DI ALTRI BENI E SERVIZI: </w:t>
      </w:r>
      <w:r w:rsidRPr="006C6094">
        <w:rPr>
          <w:rFonts w:ascii="Arial" w:eastAsia="Calibri" w:hAnsi="Arial" w:cs="Arial"/>
          <w:sz w:val="23"/>
          <w:szCs w:val="23"/>
        </w:rPr>
        <w:t xml:space="preserve">per </w:t>
      </w:r>
      <w:r w:rsidRPr="006C6094">
        <w:rPr>
          <w:rFonts w:ascii="Arial" w:eastAsia="Calibri" w:hAnsi="Arial" w:cs="Arial"/>
          <w:b/>
          <w:sz w:val="23"/>
          <w:szCs w:val="23"/>
        </w:rPr>
        <w:t>alcuni beni</w:t>
      </w:r>
      <w:r w:rsidRPr="006C6094">
        <w:rPr>
          <w:rFonts w:ascii="Arial" w:eastAsia="Calibri" w:hAnsi="Arial" w:cs="Arial"/>
          <w:sz w:val="23"/>
          <w:szCs w:val="23"/>
        </w:rPr>
        <w:t xml:space="preserve"> (stoviglie e utensili da cucina, prodotti monouso biodegradabili e compostabili, prodotti per pulizia e igiene ambienti e per lavaggio indumenti, prodotti per igiene personale, pannolini per neonati, ecc.),  ricerche di mercato e listini di riferimento di convenzioni stipulate da centrali di committenza regionali; per il </w:t>
      </w:r>
      <w:r w:rsidRPr="006C6094">
        <w:rPr>
          <w:rFonts w:ascii="Arial" w:eastAsia="Calibri" w:hAnsi="Arial" w:cs="Arial"/>
          <w:b/>
          <w:sz w:val="23"/>
          <w:szCs w:val="23"/>
        </w:rPr>
        <w:t>materiale didattico</w:t>
      </w:r>
      <w:r w:rsidRPr="006C6094">
        <w:rPr>
          <w:rFonts w:ascii="Arial" w:eastAsia="Calibri" w:hAnsi="Arial" w:cs="Arial"/>
          <w:sz w:val="23"/>
          <w:szCs w:val="23"/>
        </w:rPr>
        <w:t xml:space="preserve"> destinato agli adulti per la frequenza dei corsi di lingua, il valore medio del “buono libri” erogato da enti locali per il 2020 per le classi di scuola media di primo e secondo grado; per il </w:t>
      </w:r>
      <w:r w:rsidRPr="006C6094">
        <w:rPr>
          <w:rFonts w:ascii="Arial" w:eastAsia="Calibri" w:hAnsi="Arial" w:cs="Arial"/>
          <w:b/>
          <w:sz w:val="23"/>
          <w:szCs w:val="23"/>
        </w:rPr>
        <w:t>materiale didattico e ludico</w:t>
      </w:r>
      <w:r w:rsidRPr="006C6094">
        <w:rPr>
          <w:rFonts w:ascii="Arial" w:eastAsia="Calibri" w:hAnsi="Arial" w:cs="Arial"/>
          <w:sz w:val="23"/>
          <w:szCs w:val="23"/>
        </w:rPr>
        <w:t xml:space="preserve"> destinato ai bambini, il valore medio del voucher per l’attività formativa e per i </w:t>
      </w:r>
      <w:r w:rsidRPr="006C6094">
        <w:rPr>
          <w:rFonts w:ascii="Arial" w:eastAsia="Calibri" w:hAnsi="Arial" w:cs="Arial"/>
          <w:b/>
          <w:sz w:val="23"/>
          <w:szCs w:val="23"/>
        </w:rPr>
        <w:t>trasporti scolastici</w:t>
      </w:r>
      <w:r w:rsidRPr="006C6094">
        <w:rPr>
          <w:rFonts w:ascii="Arial" w:eastAsia="Calibri" w:hAnsi="Arial" w:cs="Arial"/>
          <w:sz w:val="23"/>
          <w:szCs w:val="23"/>
        </w:rPr>
        <w:t xml:space="preserve"> erogato da enti locali per l’anno 2020;  per i </w:t>
      </w:r>
      <w:r w:rsidRPr="006C6094">
        <w:rPr>
          <w:rFonts w:ascii="Arial" w:eastAsia="Calibri" w:hAnsi="Arial" w:cs="Arial"/>
          <w:b/>
          <w:sz w:val="23"/>
          <w:szCs w:val="23"/>
        </w:rPr>
        <w:t>farmaci e altre spese per la salute (</w:t>
      </w:r>
      <w:r w:rsidRPr="006C6094">
        <w:rPr>
          <w:rFonts w:ascii="Arial" w:eastAsia="Calibri" w:hAnsi="Arial" w:cs="Arial"/>
          <w:sz w:val="23"/>
          <w:szCs w:val="23"/>
        </w:rPr>
        <w:t>ad es. visite specialistiche, protesi non previste dal SSN, attrezzature mediche, ecc.), il valore nel limite massimo di € 500,00 annui a persona in analogia a quanto previsto dal manuale di rendicontazione SIPROIMI 2018. Tutti i costi medi di cui al presente punto sono stati attualizzati sulla base</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dell’l’indice FOI pubblicato dall’Istat (indice dei prezzi al consumo per le Famiglie di Operi e Impiegati, al netto dei tabacchi).</w:t>
      </w:r>
    </w:p>
    <w:p w14:paraId="5352EE2D" w14:textId="77777777" w:rsidR="006C6094" w:rsidRPr="006C6094" w:rsidRDefault="006C6094" w:rsidP="006C6094">
      <w:pPr>
        <w:spacing w:line="276" w:lineRule="auto"/>
        <w:contextualSpacing/>
        <w:jc w:val="both"/>
        <w:rPr>
          <w:rFonts w:ascii="Arial" w:eastAsia="Calibri" w:hAnsi="Arial" w:cs="Arial"/>
          <w:sz w:val="23"/>
          <w:szCs w:val="23"/>
        </w:rPr>
      </w:pPr>
    </w:p>
    <w:p w14:paraId="2F882531" w14:textId="378F0D7D" w:rsidR="006C6094" w:rsidRPr="006C6094" w:rsidRDefault="006C6094" w:rsidP="006C6094">
      <w:pPr>
        <w:spacing w:line="276" w:lineRule="auto"/>
        <w:jc w:val="both"/>
        <w:rPr>
          <w:rFonts w:ascii="Arial" w:eastAsia="Calibri" w:hAnsi="Arial" w:cs="Arial"/>
          <w:b/>
          <w:sz w:val="23"/>
          <w:szCs w:val="23"/>
        </w:rPr>
      </w:pPr>
      <w:r w:rsidRPr="006C6094">
        <w:rPr>
          <w:rFonts w:ascii="Arial" w:eastAsia="Calibri" w:hAnsi="Arial" w:cs="Arial"/>
          <w:sz w:val="23"/>
          <w:szCs w:val="23"/>
        </w:rPr>
        <w:t xml:space="preserve"> </w:t>
      </w:r>
      <w:r w:rsidRPr="006C6094">
        <w:rPr>
          <w:rFonts w:ascii="Arial" w:eastAsia="Calibri" w:hAnsi="Arial" w:cs="Arial"/>
          <w:b/>
          <w:sz w:val="23"/>
          <w:szCs w:val="23"/>
        </w:rPr>
        <w:t>9. SERVIZIO DI CURA E IGIENE DI CAPELLI E BARBA (solo per i centri di cui all’art. 14 del D.</w:t>
      </w:r>
      <w:r w:rsidR="00095B43">
        <w:rPr>
          <w:rFonts w:ascii="Arial" w:eastAsia="Calibri" w:hAnsi="Arial" w:cs="Arial"/>
          <w:b/>
          <w:sz w:val="23"/>
          <w:szCs w:val="23"/>
        </w:rPr>
        <w:t>l</w:t>
      </w:r>
      <w:r w:rsidRPr="006C6094">
        <w:rPr>
          <w:rFonts w:ascii="Arial" w:eastAsia="Calibri" w:hAnsi="Arial" w:cs="Arial"/>
          <w:b/>
          <w:sz w:val="23"/>
          <w:szCs w:val="23"/>
        </w:rPr>
        <w:t>gs. N. 286/1998)</w:t>
      </w:r>
      <w:r w:rsidRPr="006C6094">
        <w:rPr>
          <w:rFonts w:ascii="Arial" w:eastAsia="Calibri" w:hAnsi="Arial" w:cs="Arial"/>
          <w:sz w:val="23"/>
          <w:szCs w:val="23"/>
        </w:rPr>
        <w:t>: valore medio dei costi del servizio elaborati da un campione di Prefetture sulla base di ricerche di mercato, attualizzati sulla base dell’l’indice FOI pubblicato dall’Istat (indice dei prezzi al consumo per le Famiglie di Operi e Impiegati, al netto dei tabacchi</w:t>
      </w:r>
    </w:p>
    <w:p w14:paraId="15079169" w14:textId="77777777" w:rsidR="006C6094" w:rsidRPr="006C6094" w:rsidRDefault="006C6094" w:rsidP="006C6094">
      <w:pPr>
        <w:contextualSpacing/>
        <w:rPr>
          <w:rFonts w:ascii="Arial" w:eastAsia="Calibri" w:hAnsi="Arial" w:cs="Arial"/>
          <w:b/>
          <w:sz w:val="23"/>
          <w:szCs w:val="23"/>
        </w:rPr>
      </w:pPr>
    </w:p>
    <w:p w14:paraId="5E621CFE"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10. FORNITURA KIT DI PRIMO INGRESSO E SCHEDA TELEFONICA</w:t>
      </w:r>
      <w:r w:rsidRPr="006C6094">
        <w:rPr>
          <w:rFonts w:ascii="Arial" w:eastAsia="Calibri" w:hAnsi="Arial" w:cs="Arial"/>
          <w:sz w:val="23"/>
          <w:szCs w:val="23"/>
        </w:rPr>
        <w:t xml:space="preserve">: ricerche di mercato e listini di riferimento di convenzioni stipulate da centrali di committenza regionali per quanto concerne il kit; valore di </w:t>
      </w:r>
      <w:r w:rsidRPr="006C6094">
        <w:rPr>
          <w:rFonts w:ascii="Arial" w:eastAsia="Calibri" w:hAnsi="Arial" w:cs="Arial"/>
          <w:b/>
          <w:sz w:val="23"/>
          <w:szCs w:val="23"/>
        </w:rPr>
        <w:t>5,00</w:t>
      </w:r>
      <w:r w:rsidRPr="006C6094">
        <w:rPr>
          <w:rFonts w:ascii="Arial" w:eastAsia="Calibri" w:hAnsi="Arial" w:cs="Arial"/>
          <w:sz w:val="23"/>
          <w:szCs w:val="23"/>
        </w:rPr>
        <w:t xml:space="preserve"> euro per quanto riguarda la singola scheda telefonica, tenendo conto dei seguenti criteri:</w:t>
      </w:r>
    </w:p>
    <w:p w14:paraId="74FF30C9"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 comma 2, lettere a) e b), consegna al migrante del kit e della scheda telefonica all’ingresso considerando un solo ricambio al passaggio dalla stagione calda a quella f</w:t>
      </w:r>
      <w:r>
        <w:rPr>
          <w:rFonts w:ascii="Arial" w:eastAsia="Calibri" w:hAnsi="Arial" w:cs="Arial"/>
          <w:sz w:val="23"/>
          <w:szCs w:val="23"/>
        </w:rPr>
        <w:t>redda o viceversa, e stimando 1</w:t>
      </w:r>
      <w:r w:rsidRPr="006C6094">
        <w:rPr>
          <w:rFonts w:ascii="Arial" w:eastAsia="Calibri" w:hAnsi="Arial" w:cs="Arial"/>
          <w:sz w:val="23"/>
          <w:szCs w:val="23"/>
        </w:rPr>
        <w:t xml:space="preserve"> </w:t>
      </w:r>
      <w:r w:rsidRPr="006C6094">
        <w:rPr>
          <w:rFonts w:ascii="Arial" w:eastAsia="Calibri" w:hAnsi="Arial" w:cs="Arial"/>
          <w:i/>
          <w:sz w:val="23"/>
          <w:szCs w:val="23"/>
        </w:rPr>
        <w:t>turnover</w:t>
      </w:r>
      <w:r w:rsidRPr="006C6094">
        <w:rPr>
          <w:rFonts w:ascii="Arial" w:eastAsia="Calibri" w:hAnsi="Arial" w:cs="Arial"/>
          <w:sz w:val="23"/>
          <w:szCs w:val="23"/>
        </w:rPr>
        <w:t xml:space="preserve"> l’anno </w:t>
      </w:r>
    </w:p>
    <w:p w14:paraId="7CFF7A2A"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 xml:space="preserve">per i centri di cui all’art. 10-ter del D. </w:t>
      </w:r>
      <w:proofErr w:type="spellStart"/>
      <w:r w:rsidRPr="006C6094">
        <w:rPr>
          <w:rFonts w:ascii="Arial" w:eastAsia="Calibri" w:hAnsi="Arial" w:cs="Arial"/>
          <w:sz w:val="23"/>
          <w:szCs w:val="23"/>
        </w:rPr>
        <w:t>Lgs</w:t>
      </w:r>
      <w:proofErr w:type="spellEnd"/>
      <w:r w:rsidRPr="006C6094">
        <w:rPr>
          <w:rFonts w:ascii="Arial" w:eastAsia="Calibri" w:hAnsi="Arial" w:cs="Arial"/>
          <w:sz w:val="23"/>
          <w:szCs w:val="23"/>
        </w:rPr>
        <w:t xml:space="preserve">. 25/7/1998 n. 286 e </w:t>
      </w:r>
      <w:proofErr w:type="spellStart"/>
      <w:r w:rsidRPr="006C6094">
        <w:rPr>
          <w:rFonts w:ascii="Arial" w:eastAsia="Calibri" w:hAnsi="Arial" w:cs="Arial"/>
          <w:sz w:val="23"/>
          <w:szCs w:val="23"/>
        </w:rPr>
        <w:t>s.m.i.</w:t>
      </w:r>
      <w:proofErr w:type="spellEnd"/>
      <w:r w:rsidRPr="006C6094">
        <w:rPr>
          <w:rFonts w:ascii="Arial" w:eastAsia="Calibri" w:hAnsi="Arial" w:cs="Arial"/>
          <w:sz w:val="23"/>
          <w:szCs w:val="23"/>
        </w:rPr>
        <w:t xml:space="preserve">, consegna del kit e della scheda telefonica una sola volta all’ingresso, stimando 12 turnover l’anno </w:t>
      </w:r>
      <w:proofErr w:type="spellStart"/>
      <w:r w:rsidRPr="006C6094">
        <w:rPr>
          <w:rFonts w:ascii="Arial" w:eastAsia="Calibri" w:hAnsi="Arial" w:cs="Arial"/>
          <w:sz w:val="23"/>
          <w:szCs w:val="23"/>
        </w:rPr>
        <w:t>l’anno</w:t>
      </w:r>
      <w:proofErr w:type="spellEnd"/>
      <w:r w:rsidRPr="006C6094">
        <w:rPr>
          <w:rFonts w:ascii="Arial" w:eastAsia="Calibri" w:hAnsi="Arial" w:cs="Arial"/>
          <w:sz w:val="23"/>
          <w:szCs w:val="23"/>
        </w:rPr>
        <w:t>;</w:t>
      </w:r>
    </w:p>
    <w:p w14:paraId="64D63A76" w14:textId="76342E3F" w:rsidR="006C6094" w:rsidRPr="00054C9D" w:rsidRDefault="006C6094" w:rsidP="00054C9D">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14 del D.lgs. n. 286/1998, consegna del kit e della scheda telefonica all’ingresso, considerando un solo ricambio al passaggio dalla stagione calda a quella fredda o viceversa e stimando 1</w:t>
      </w:r>
      <w:r w:rsidRPr="006C6094">
        <w:rPr>
          <w:rFonts w:ascii="Arial" w:eastAsia="Calibri" w:hAnsi="Arial" w:cs="Arial"/>
          <w:i/>
          <w:iCs/>
          <w:sz w:val="23"/>
          <w:szCs w:val="23"/>
        </w:rPr>
        <w:t xml:space="preserve"> turnover</w:t>
      </w:r>
      <w:r w:rsidRPr="006C6094">
        <w:rPr>
          <w:rFonts w:ascii="Arial" w:eastAsia="Calibri" w:hAnsi="Arial" w:cs="Arial"/>
          <w:sz w:val="23"/>
          <w:szCs w:val="23"/>
        </w:rPr>
        <w:t xml:space="preserve"> l’anno.</w:t>
      </w:r>
    </w:p>
    <w:p w14:paraId="098DAEB7" w14:textId="77777777" w:rsidR="006C6094" w:rsidRPr="006C6094" w:rsidRDefault="006C6094" w:rsidP="006C6094">
      <w:pPr>
        <w:spacing w:line="276" w:lineRule="auto"/>
        <w:contextualSpacing/>
        <w:jc w:val="both"/>
        <w:rPr>
          <w:rFonts w:ascii="Arial" w:eastAsia="Calibri" w:hAnsi="Arial" w:cs="Arial"/>
          <w:sz w:val="23"/>
          <w:szCs w:val="23"/>
        </w:rPr>
      </w:pPr>
    </w:p>
    <w:p w14:paraId="1B7460E6"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 xml:space="preserve">11. FORNITURA POCKET MONEY: </w:t>
      </w:r>
      <w:r w:rsidRPr="006C6094">
        <w:rPr>
          <w:rFonts w:ascii="Arial" w:eastAsia="Calibri" w:hAnsi="Arial" w:cs="Arial"/>
          <w:sz w:val="23"/>
          <w:szCs w:val="23"/>
        </w:rPr>
        <w:t xml:space="preserve">il relativo valore corrisponde all’importo giornaliero di € </w:t>
      </w:r>
      <w:r w:rsidRPr="006C6094">
        <w:rPr>
          <w:rFonts w:ascii="Arial" w:eastAsia="Calibri" w:hAnsi="Arial" w:cs="Arial"/>
          <w:b/>
          <w:sz w:val="23"/>
          <w:szCs w:val="23"/>
        </w:rPr>
        <w:t>2,50</w:t>
      </w:r>
      <w:r w:rsidRPr="006C6094">
        <w:rPr>
          <w:rFonts w:ascii="Arial" w:eastAsia="Calibri" w:hAnsi="Arial" w:cs="Arial"/>
          <w:sz w:val="23"/>
          <w:szCs w:val="23"/>
        </w:rPr>
        <w:t xml:space="preserve"> per migrante.</w:t>
      </w:r>
    </w:p>
    <w:tbl>
      <w:tblPr>
        <w:tblW w:w="5000" w:type="pct"/>
        <w:tblCellMar>
          <w:left w:w="70" w:type="dxa"/>
          <w:right w:w="70" w:type="dxa"/>
        </w:tblCellMar>
        <w:tblLook w:val="04A0" w:firstRow="1" w:lastRow="0" w:firstColumn="1" w:lastColumn="0" w:noHBand="0" w:noVBand="1"/>
      </w:tblPr>
      <w:tblGrid>
        <w:gridCol w:w="9496"/>
        <w:gridCol w:w="142"/>
      </w:tblGrid>
      <w:tr w:rsidR="006C6094" w:rsidRPr="006C6094" w14:paraId="2DD809D6" w14:textId="77777777" w:rsidTr="006C2962">
        <w:trPr>
          <w:trHeight w:val="312"/>
        </w:trPr>
        <w:tc>
          <w:tcPr>
            <w:tcW w:w="4927" w:type="pct"/>
            <w:tcBorders>
              <w:top w:val="nil"/>
              <w:left w:val="nil"/>
              <w:bottom w:val="nil"/>
              <w:right w:val="nil"/>
            </w:tcBorders>
            <w:shd w:val="clear" w:color="auto" w:fill="auto"/>
            <w:noWrap/>
          </w:tcPr>
          <w:p w14:paraId="5AB616CB" w14:textId="77777777" w:rsidR="006C6094" w:rsidRPr="006C6094" w:rsidRDefault="006C6094" w:rsidP="006C6094">
            <w:pPr>
              <w:jc w:val="both"/>
              <w:rPr>
                <w:rFonts w:ascii="Arial" w:eastAsia="Calibri" w:hAnsi="Arial" w:cs="Arial"/>
                <w:sz w:val="23"/>
                <w:szCs w:val="23"/>
              </w:rPr>
            </w:pPr>
          </w:p>
          <w:p w14:paraId="16954F47" w14:textId="77777777" w:rsidR="006C6094" w:rsidRPr="006C6094" w:rsidRDefault="006C6094" w:rsidP="006C6094">
            <w:pPr>
              <w:spacing w:line="276" w:lineRule="auto"/>
              <w:jc w:val="both"/>
              <w:rPr>
                <w:rFonts w:ascii="Arial" w:eastAsia="Calibri" w:hAnsi="Arial" w:cs="Arial"/>
                <w:b/>
                <w:sz w:val="24"/>
                <w:szCs w:val="24"/>
              </w:rPr>
            </w:pPr>
            <w:r w:rsidRPr="006C6094">
              <w:rPr>
                <w:rFonts w:ascii="Arial" w:eastAsia="Calibri" w:hAnsi="Arial" w:cs="Arial"/>
                <w:b/>
                <w:sz w:val="24"/>
                <w:szCs w:val="24"/>
              </w:rPr>
              <w:t>Basi d’asta e costi aggiuntivi ai sensi degli articoli 11 e 24 dello schema di capitolato e degli allegati disciplinari di gara</w:t>
            </w:r>
          </w:p>
          <w:p w14:paraId="790F0EFC"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Ai fini dell’elaborazione dei differenti corrispettivi a basi d’asta riferiti ai centri di accoglienza e alle strutture di cui all’art. 1) dello schema di capitolato, e con riferimento alle prestazioni di cui all’art. 2, lettere A), B), e C) del medesimo schema, si terrà conto dei costi medi stimati, </w:t>
            </w:r>
            <w:r w:rsidRPr="006C6094">
              <w:rPr>
                <w:rFonts w:ascii="Arial" w:eastAsia="Calibri" w:hAnsi="Arial" w:cs="Arial"/>
                <w:i/>
                <w:sz w:val="23"/>
                <w:szCs w:val="23"/>
              </w:rPr>
              <w:t xml:space="preserve">pro-die/pro-capite </w:t>
            </w:r>
            <w:r w:rsidRPr="006C6094">
              <w:rPr>
                <w:rFonts w:ascii="Arial" w:eastAsia="Calibri" w:hAnsi="Arial" w:cs="Arial"/>
                <w:b/>
                <w:sz w:val="23"/>
                <w:szCs w:val="23"/>
              </w:rPr>
              <w:t>suscettibili di ribasso in sede di offerta</w:t>
            </w:r>
            <w:r w:rsidRPr="006C6094">
              <w:rPr>
                <w:rFonts w:ascii="Arial" w:eastAsia="Calibri" w:hAnsi="Arial" w:cs="Arial"/>
                <w:i/>
                <w:sz w:val="23"/>
                <w:szCs w:val="23"/>
              </w:rPr>
              <w:t>,</w:t>
            </w:r>
            <w:r w:rsidRPr="006C6094">
              <w:rPr>
                <w:rFonts w:ascii="Arial" w:eastAsia="Calibri" w:hAnsi="Arial" w:cs="Arial"/>
                <w:sz w:val="23"/>
                <w:szCs w:val="23"/>
              </w:rPr>
              <w:t xml:space="preserve"> che</w:t>
            </w:r>
            <w:r w:rsidRPr="006C6094">
              <w:rPr>
                <w:rFonts w:ascii="Arial" w:eastAsia="Calibri" w:hAnsi="Arial" w:cs="Arial"/>
                <w:i/>
                <w:sz w:val="23"/>
                <w:szCs w:val="23"/>
              </w:rPr>
              <w:t xml:space="preserve"> </w:t>
            </w:r>
            <w:r w:rsidRPr="006C6094">
              <w:rPr>
                <w:rFonts w:ascii="Arial" w:eastAsia="Calibri" w:hAnsi="Arial" w:cs="Arial"/>
                <w:sz w:val="23"/>
                <w:szCs w:val="23"/>
              </w:rPr>
              <w:t>vengono</w:t>
            </w:r>
            <w:r w:rsidRPr="006C6094">
              <w:rPr>
                <w:rFonts w:ascii="Arial" w:eastAsia="Calibri" w:hAnsi="Arial" w:cs="Arial"/>
                <w:i/>
                <w:sz w:val="23"/>
                <w:szCs w:val="23"/>
              </w:rPr>
              <w:t xml:space="preserve"> </w:t>
            </w:r>
            <w:r w:rsidRPr="006C6094">
              <w:rPr>
                <w:rFonts w:ascii="Arial" w:eastAsia="Calibri" w:hAnsi="Arial" w:cs="Arial"/>
                <w:sz w:val="23"/>
                <w:szCs w:val="23"/>
              </w:rPr>
              <w:t>riportati nelle sottostanti tabelle con riferimento alle seguenti prestazioni e sulla base della diversa natura, tipologia funzionale e dimensione dei predetti centri e strutture:</w:t>
            </w:r>
          </w:p>
          <w:p w14:paraId="51BEE2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servizio di trasporto degli stranieri presenti nei centri per il raggiungimento degli uffici di Polizia e dell’Autorità Giudiziaria, della Commissione territoriale per il riconoscimento della protezione internazionale e delle strutture sanitarie secondo le indicazioni del medico responsabile del centro;</w:t>
            </w:r>
          </w:p>
          <w:p w14:paraId="23079D3D"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derrate alimentari e preparazione/fornitura pasti;</w:t>
            </w:r>
          </w:p>
          <w:p w14:paraId="7627F3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beni monouso;</w:t>
            </w:r>
          </w:p>
          <w:p w14:paraId="75B8DE2A"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utensili per la cottura delle derrate alimentari;</w:t>
            </w:r>
          </w:p>
          <w:p w14:paraId="502FEA4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attrezzature e prodotti per le pulizie e l’igiene degli ambienti, prodotti per le pulizie delle stoviglie, lavaggio degli indumenti presso i centri costituiti da unità abitative sino a 50 posti di cui all’art. 1 comma 2 lett. a) dello schema di capitolato;</w:t>
            </w:r>
          </w:p>
          <w:p w14:paraId="593B1A07" w14:textId="1C4C7714"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 di pulizia, igiene ambientale e lavanderia presso i centri collet</w:t>
            </w:r>
            <w:r w:rsidR="00E6752C">
              <w:rPr>
                <w:rFonts w:ascii="Arial" w:eastAsia="Calibri" w:hAnsi="Arial" w:cs="Arial"/>
              </w:rPr>
              <w:t>tivi di cui all’art. 1, comma 2</w:t>
            </w:r>
            <w:r w:rsidRPr="006C6094">
              <w:rPr>
                <w:rFonts w:ascii="Arial" w:eastAsia="Calibri" w:hAnsi="Arial" w:cs="Arial"/>
              </w:rPr>
              <w:t xml:space="preserve">, lett, b) del capitolato, i centri di cui agli articoli 10-ter (c.d. </w:t>
            </w:r>
            <w:proofErr w:type="spellStart"/>
            <w:r w:rsidRPr="006C6094">
              <w:rPr>
                <w:rFonts w:ascii="Arial" w:eastAsia="Calibri" w:hAnsi="Arial" w:cs="Arial"/>
              </w:rPr>
              <w:t>hospot</w:t>
            </w:r>
            <w:proofErr w:type="spellEnd"/>
            <w:r w:rsidRPr="006C6094">
              <w:rPr>
                <w:rFonts w:ascii="Arial" w:eastAsia="Calibri" w:hAnsi="Arial" w:cs="Arial"/>
              </w:rPr>
              <w:t>) e 14 del D.lgs. n. 142/2015 (C.P.R) nonché presso i centri di cui all’art. 11 comma 2 bis del D.lgs. n. 142/2015.</w:t>
            </w:r>
          </w:p>
          <w:p w14:paraId="4B626AE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 xml:space="preserve">acquisizione </w:t>
            </w:r>
            <w:r>
              <w:rPr>
                <w:rFonts w:ascii="Arial" w:eastAsia="Calibri" w:hAnsi="Arial" w:cs="Arial"/>
              </w:rPr>
              <w:t xml:space="preserve">onerosa </w:t>
            </w:r>
            <w:r w:rsidRPr="006C6094">
              <w:rPr>
                <w:rFonts w:ascii="Arial" w:eastAsia="Calibri" w:hAnsi="Arial" w:cs="Arial"/>
              </w:rPr>
              <w:t>della disponibilità e utilizzo di beni immobili (affitto, affitto figurativo e utenze);</w:t>
            </w:r>
          </w:p>
          <w:p w14:paraId="19AB7955"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effetti letterecci e prodotti per l’igiene personale;</w:t>
            </w:r>
          </w:p>
          <w:p w14:paraId="625A76D0" w14:textId="77777777" w:rsidR="006C6094" w:rsidRPr="006C6094" w:rsidRDefault="006C6094" w:rsidP="006C6094">
            <w:pPr>
              <w:jc w:val="both"/>
              <w:rPr>
                <w:rFonts w:ascii="Arial" w:eastAsia="Calibri" w:hAnsi="Arial" w:cs="Arial"/>
                <w:sz w:val="23"/>
                <w:szCs w:val="23"/>
              </w:rPr>
            </w:pPr>
          </w:p>
          <w:p w14:paraId="438CE799"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Inoltre, conformemente con gli articoli 11 e 24 dello schema di capitolato, le sottostanti tabelle riportano, i singoli costi medi aggiuntivi </w:t>
            </w:r>
            <w:r w:rsidRPr="006C6094">
              <w:rPr>
                <w:rFonts w:ascii="Arial" w:eastAsia="Calibri" w:hAnsi="Arial" w:cs="Arial"/>
                <w:i/>
                <w:sz w:val="23"/>
                <w:szCs w:val="23"/>
              </w:rPr>
              <w:t xml:space="preserve">pro-die/pro-capite </w:t>
            </w:r>
            <w:r w:rsidRPr="006C6094">
              <w:rPr>
                <w:rFonts w:ascii="Arial" w:eastAsia="Calibri" w:hAnsi="Arial" w:cs="Arial"/>
                <w:sz w:val="23"/>
                <w:szCs w:val="23"/>
              </w:rPr>
              <w:t>(</w:t>
            </w:r>
            <w:r>
              <w:rPr>
                <w:rFonts w:ascii="Arial" w:eastAsia="Calibri" w:hAnsi="Arial" w:cs="Arial"/>
                <w:b/>
                <w:sz w:val="23"/>
                <w:szCs w:val="23"/>
              </w:rPr>
              <w:t>suscettibili e</w:t>
            </w:r>
            <w:r w:rsidRPr="006C6094">
              <w:rPr>
                <w:rFonts w:ascii="Arial" w:eastAsia="Calibri" w:hAnsi="Arial" w:cs="Arial"/>
                <w:b/>
                <w:sz w:val="23"/>
                <w:szCs w:val="23"/>
              </w:rPr>
              <w:t xml:space="preserve"> non suscettibili di ribasso per come preliminarmente indicato nel seguente elenco</w:t>
            </w:r>
            <w:r w:rsidRPr="006C6094">
              <w:rPr>
                <w:rFonts w:ascii="Arial" w:eastAsia="Calibri" w:hAnsi="Arial" w:cs="Arial"/>
                <w:sz w:val="23"/>
                <w:szCs w:val="23"/>
              </w:rPr>
              <w:t xml:space="preserve">), riferiti ai seguenti </w:t>
            </w:r>
            <w:r w:rsidRPr="006C6094">
              <w:rPr>
                <w:rFonts w:ascii="Arial" w:eastAsia="Calibri" w:hAnsi="Arial" w:cs="Arial"/>
                <w:b/>
                <w:sz w:val="23"/>
                <w:szCs w:val="23"/>
              </w:rPr>
              <w:t>beni e servizi,</w:t>
            </w:r>
            <w:r w:rsidRPr="006C6094">
              <w:rPr>
                <w:rFonts w:ascii="Arial" w:eastAsia="Calibri" w:hAnsi="Arial" w:cs="Arial"/>
                <w:sz w:val="23"/>
                <w:szCs w:val="23"/>
              </w:rPr>
              <w:t xml:space="preserve"> la cui consegna ed erogazione in favore dei beneficiari dovrà essere appositamente e separatamente rendicontata dall’ente gestore nel corso dell’esecuzione del contratto:</w:t>
            </w:r>
          </w:p>
          <w:p w14:paraId="0F9DB0DA"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w:t>
            </w:r>
            <w:r w:rsidRPr="006C6094">
              <w:rPr>
                <w:rFonts w:ascii="Arial" w:eastAsia="Calibri" w:hAnsi="Arial" w:cs="Arial"/>
                <w:sz w:val="23"/>
                <w:szCs w:val="23"/>
              </w:rPr>
              <w:t xml:space="preserve"> in sede di offerta, riferito al personale impiegato nella esecuzione delle prestazioni previste dallo schema di capitolato e dalle allegate specifiche tecniche;</w:t>
            </w:r>
          </w:p>
          <w:p w14:paraId="212F8AA4" w14:textId="225D8E0D" w:rsidR="00B07706" w:rsidRPr="00E15B98" w:rsidRDefault="00B07706">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conformemente a quanto indicato nelle specifiche tecniche di cui agli allegati 1-bis e 2-bis e nelle corrispondenti Tabelle di cui all’Allegato A con riferimento alla gestione </w:t>
            </w:r>
            <w:r w:rsidRPr="00E15B98">
              <w:rPr>
                <w:rFonts w:ascii="Arial" w:eastAsia="Calibri" w:hAnsi="Arial" w:cs="Arial"/>
                <w:sz w:val="23"/>
                <w:szCs w:val="23"/>
              </w:rPr>
              <w:lastRenderedPageBreak/>
              <w:t>dei centri di cui all’art. 1, comma 1 lett. a) e lett. b)</w:t>
            </w:r>
            <w:r w:rsidR="009950E8" w:rsidRPr="00E15B98">
              <w:rPr>
                <w:rFonts w:ascii="Arial" w:eastAsia="Calibri" w:hAnsi="Arial" w:cs="Arial"/>
                <w:sz w:val="23"/>
                <w:szCs w:val="23"/>
              </w:rPr>
              <w:t xml:space="preserve"> dello schema di capitolato</w:t>
            </w:r>
            <w:r w:rsidRPr="00E15B98">
              <w:rPr>
                <w:rFonts w:ascii="Arial" w:eastAsia="Calibri" w:hAnsi="Arial" w:cs="Arial"/>
                <w:sz w:val="23"/>
                <w:szCs w:val="23"/>
              </w:rPr>
              <w:t xml:space="preserve">, con capienza sino a 50 posti,  </w:t>
            </w:r>
            <w:r w:rsidR="009950E8" w:rsidRPr="00E15B98">
              <w:rPr>
                <w:rFonts w:ascii="Arial" w:eastAsia="Calibri" w:hAnsi="Arial" w:cs="Arial"/>
                <w:sz w:val="23"/>
                <w:szCs w:val="23"/>
              </w:rPr>
              <w:t xml:space="preserve">il costo pro-die/pro-capite, </w:t>
            </w:r>
            <w:r w:rsidR="009950E8" w:rsidRPr="00E15B98">
              <w:rPr>
                <w:rFonts w:ascii="Arial" w:eastAsia="Calibri" w:hAnsi="Arial" w:cs="Arial"/>
                <w:b/>
                <w:sz w:val="23"/>
                <w:szCs w:val="23"/>
              </w:rPr>
              <w:t>non ribassabile</w:t>
            </w:r>
            <w:r w:rsidR="009950E8" w:rsidRPr="00E15B98">
              <w:rPr>
                <w:rFonts w:ascii="Arial" w:eastAsia="Calibri" w:hAnsi="Arial" w:cs="Arial"/>
                <w:sz w:val="23"/>
                <w:szCs w:val="23"/>
              </w:rPr>
              <w:t xml:space="preserve"> in sede di offerta, relativo al</w:t>
            </w:r>
            <w:r w:rsidRPr="00E15B98">
              <w:rPr>
                <w:rFonts w:ascii="Arial" w:eastAsia="Calibri" w:hAnsi="Arial" w:cs="Arial"/>
                <w:sz w:val="23"/>
                <w:szCs w:val="23"/>
              </w:rPr>
              <w:t>l’intervento del medico a chiamata per visite di primo ingresso e primo soccorso nei limiti del monte ore annuale di 200 ore all’anno (ovvero 4 ore all’anno per migrante per un massimo di 50 posti)</w:t>
            </w:r>
            <w:r w:rsidRPr="00E15B98">
              <w:rPr>
                <w:rFonts w:ascii="Arial" w:eastAsia="Calibri" w:hAnsi="Arial" w:cs="Arial"/>
                <w:b/>
                <w:i/>
                <w:sz w:val="23"/>
                <w:szCs w:val="23"/>
              </w:rPr>
              <w:t xml:space="preserve"> </w:t>
            </w:r>
            <w:r w:rsidR="009950E8" w:rsidRPr="00E15B98">
              <w:rPr>
                <w:rFonts w:ascii="Arial" w:eastAsia="Calibri" w:hAnsi="Arial" w:cs="Arial"/>
                <w:sz w:val="23"/>
                <w:szCs w:val="23"/>
              </w:rPr>
              <w:t>e al</w:t>
            </w:r>
            <w:r w:rsidRPr="00E15B98">
              <w:rPr>
                <w:rFonts w:ascii="Arial" w:eastAsia="Calibri" w:hAnsi="Arial" w:cs="Arial"/>
                <w:sz w:val="23"/>
                <w:szCs w:val="23"/>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w:t>
            </w:r>
            <w:r w:rsidR="009950E8" w:rsidRPr="00E15B98">
              <w:rPr>
                <w:rFonts w:ascii="Arial" w:eastAsia="Calibri" w:hAnsi="Arial" w:cs="Arial"/>
                <w:sz w:val="23"/>
                <w:szCs w:val="23"/>
              </w:rPr>
              <w:t>.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e lett. b)</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dello schema di capitolato;</w:t>
            </w:r>
          </w:p>
          <w:p w14:paraId="342CAFF8" w14:textId="42064A1B" w:rsidR="006C6094" w:rsidRPr="00E15B98" w:rsidRDefault="006C6094">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 esclusivo riguardo alla gestione dei centri di cui all’art. 1, comma 1 lett. a) dello schema di capitolato, il costo pro-die/pro-capite, </w:t>
            </w:r>
            <w:r w:rsidRPr="00E15B98">
              <w:rPr>
                <w:rFonts w:ascii="Arial" w:eastAsia="Calibri" w:hAnsi="Arial" w:cs="Arial"/>
                <w:b/>
                <w:sz w:val="23"/>
                <w:szCs w:val="23"/>
              </w:rPr>
              <w:t>non ribassabile</w:t>
            </w:r>
            <w:r w:rsidRPr="00E15B98">
              <w:rPr>
                <w:rFonts w:ascii="Arial" w:eastAsia="Calibri" w:hAnsi="Arial" w:cs="Arial"/>
                <w:sz w:val="23"/>
                <w:szCs w:val="23"/>
              </w:rPr>
              <w:t xml:space="preserve"> in sede di offerta, riferito all’</w:t>
            </w:r>
            <w:r w:rsidR="001E34AF" w:rsidRPr="00E15B98">
              <w:rPr>
                <w:rFonts w:ascii="Arial" w:eastAsia="Calibri" w:hAnsi="Arial" w:cs="Arial"/>
                <w:sz w:val="23"/>
                <w:szCs w:val="23"/>
              </w:rPr>
              <w:t xml:space="preserve">eventuale </w:t>
            </w:r>
            <w:r w:rsidRPr="00E15B98">
              <w:rPr>
                <w:rFonts w:ascii="Arial" w:eastAsia="Calibri" w:hAnsi="Arial" w:cs="Arial"/>
                <w:sz w:val="23"/>
                <w:szCs w:val="23"/>
              </w:rPr>
              <w:t xml:space="preserve">intervento a chiamata degli operatori notturni ordinariamente impiegati in reperibilità entro un massimo di 8 ore giornaliere,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w:t>
            </w:r>
            <w:r w:rsidR="00E6752C" w:rsidRPr="00E15B98">
              <w:rPr>
                <w:rFonts w:ascii="Arial" w:eastAsia="Calibri" w:hAnsi="Arial" w:cs="Arial"/>
                <w:sz w:val="23"/>
                <w:szCs w:val="23"/>
              </w:rPr>
              <w:t>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 dello schema di capitolato;</w:t>
            </w:r>
          </w:p>
          <w:p w14:paraId="31678374" w14:textId="3937E91E" w:rsidR="006C6094" w:rsidRPr="006C6094" w:rsidRDefault="006C6094" w:rsidP="006C6094">
            <w:pPr>
              <w:numPr>
                <w:ilvl w:val="0"/>
                <w:numId w:val="6"/>
              </w:numPr>
              <w:jc w:val="both"/>
              <w:rPr>
                <w:rFonts w:ascii="Arial" w:eastAsia="Calibri" w:hAnsi="Arial" w:cs="Arial"/>
                <w:sz w:val="23"/>
                <w:szCs w:val="23"/>
              </w:rPr>
            </w:pPr>
            <w:bookmarkStart w:id="1" w:name="_Hlk141371186"/>
            <w:r w:rsidRPr="006C6094">
              <w:rPr>
                <w:rFonts w:ascii="Arial" w:eastAsia="Calibri" w:hAnsi="Arial" w:cs="Arial"/>
                <w:sz w:val="23"/>
                <w:szCs w:val="23"/>
              </w:rPr>
              <w:t xml:space="preserve">il </w:t>
            </w:r>
            <w:bookmarkStart w:id="2" w:name="_Hlk141369123"/>
            <w:r w:rsidRPr="006C6094">
              <w:rPr>
                <w:rFonts w:ascii="Arial" w:eastAsia="Calibri" w:hAnsi="Arial" w:cs="Arial"/>
                <w:sz w:val="23"/>
                <w:szCs w:val="23"/>
              </w:rPr>
              <w:t xml:space="preserve">costo pro-die/pro-capite, </w:t>
            </w:r>
            <w:r w:rsidRPr="006C6094">
              <w:rPr>
                <w:rFonts w:ascii="Arial" w:eastAsia="Calibri" w:hAnsi="Arial" w:cs="Arial"/>
                <w:b/>
                <w:sz w:val="23"/>
                <w:szCs w:val="23"/>
              </w:rPr>
              <w:t>ribassabile in sede di offerta</w:t>
            </w:r>
            <w:bookmarkEnd w:id="1"/>
            <w:bookmarkEnd w:id="2"/>
            <w:r w:rsidR="00EE010B">
              <w:rPr>
                <w:rFonts w:ascii="Arial" w:eastAsia="Calibri" w:hAnsi="Arial" w:cs="Arial"/>
                <w:sz w:val="23"/>
                <w:szCs w:val="23"/>
              </w:rPr>
              <w:t>, riferito al</w:t>
            </w:r>
            <w:r w:rsidRPr="006C6094">
              <w:rPr>
                <w:rFonts w:ascii="Arial" w:eastAsia="Calibri" w:hAnsi="Arial" w:cs="Arial"/>
                <w:sz w:val="23"/>
                <w:szCs w:val="23"/>
              </w:rPr>
              <w:t xml:space="preserve"> kit di primo ingresso (vestiario). Il medesimo costo pro-die/pro-capite è stato determinato considerando il ricambio del kit al passaggio dalla stagione fredda a quella calda o viceversa e stimando, altresì, un turnover l’anno. Per i centri di cui all’art. 10-ter del decreto legislativo n. 286/1998 sono stati stimati dodici turnover l’anno; mentre per i centri di cui all’art</w:t>
            </w:r>
            <w:r w:rsidR="00E15B98">
              <w:rPr>
                <w:rFonts w:ascii="Arial" w:eastAsia="Calibri" w:hAnsi="Arial" w:cs="Arial"/>
                <w:sz w:val="23"/>
                <w:szCs w:val="23"/>
              </w:rPr>
              <w:t>icolo 14 del d.lgs. n. 286/1998</w:t>
            </w:r>
            <w:r w:rsidRPr="006C6094">
              <w:rPr>
                <w:rFonts w:ascii="Arial" w:eastAsia="Calibri" w:hAnsi="Arial" w:cs="Arial"/>
                <w:sz w:val="23"/>
                <w:szCs w:val="23"/>
              </w:rPr>
              <w:t xml:space="preserve"> viene stimato un turnover l’anno;</w:t>
            </w:r>
          </w:p>
          <w:p w14:paraId="6B2AC21E"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riferito alla fornitura del pocket </w:t>
            </w:r>
            <w:proofErr w:type="spellStart"/>
            <w:r w:rsidRPr="006C6094">
              <w:rPr>
                <w:rFonts w:ascii="Arial" w:eastAsia="Calibri" w:hAnsi="Arial" w:cs="Arial"/>
                <w:sz w:val="23"/>
                <w:szCs w:val="23"/>
              </w:rPr>
              <w:t>money</w:t>
            </w:r>
            <w:proofErr w:type="spellEnd"/>
            <w:r w:rsidRPr="006C6094">
              <w:rPr>
                <w:rFonts w:ascii="Arial" w:eastAsia="Calibri" w:hAnsi="Arial" w:cs="Arial"/>
                <w:sz w:val="23"/>
                <w:szCs w:val="23"/>
              </w:rPr>
              <w:t>;</w:t>
            </w:r>
          </w:p>
          <w:p w14:paraId="6265F5F4"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riferito alla fornitura della scheda telefonica una tantum, a sua volta determinato stimando un turnover l’anno. Per i centri di cui all’art. 10-ter del decreto legislativo n. 286/1998 vengono </w:t>
            </w:r>
            <w:r w:rsidRPr="006C6094">
              <w:rPr>
                <w:rFonts w:ascii="Arial" w:eastAsia="Calibri" w:hAnsi="Arial" w:cs="Arial"/>
                <w:sz w:val="23"/>
                <w:szCs w:val="23"/>
              </w:rPr>
              <w:lastRenderedPageBreak/>
              <w:t>stimati dodici turnover l’anno; per i centri di cui all’art. 14 del d.lgs. n. 286/</w:t>
            </w:r>
            <w:proofErr w:type="gramStart"/>
            <w:r w:rsidRPr="006C6094">
              <w:rPr>
                <w:rFonts w:ascii="Arial" w:eastAsia="Calibri" w:hAnsi="Arial" w:cs="Arial"/>
                <w:sz w:val="23"/>
                <w:szCs w:val="23"/>
              </w:rPr>
              <w:t>1998  viene</w:t>
            </w:r>
            <w:proofErr w:type="gramEnd"/>
            <w:r w:rsidRPr="006C6094">
              <w:rPr>
                <w:rFonts w:ascii="Arial" w:eastAsia="Calibri" w:hAnsi="Arial" w:cs="Arial"/>
                <w:sz w:val="23"/>
                <w:szCs w:val="23"/>
              </w:rPr>
              <w:t xml:space="preserve"> stimato un turnover l’anno;</w:t>
            </w:r>
          </w:p>
          <w:p w14:paraId="7C99719F" w14:textId="31AB6046"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riferito alla fornitura giornaliera di </w:t>
            </w:r>
            <w:r w:rsidR="0007544F">
              <w:rPr>
                <w:rFonts w:ascii="Arial" w:eastAsia="Calibri" w:hAnsi="Arial" w:cs="Arial"/>
                <w:sz w:val="23"/>
                <w:szCs w:val="23"/>
              </w:rPr>
              <w:t>pannolini per i minori sino a 36</w:t>
            </w:r>
            <w:r w:rsidRPr="006C6094">
              <w:rPr>
                <w:rFonts w:ascii="Arial" w:eastAsia="Calibri" w:hAnsi="Arial" w:cs="Arial"/>
                <w:sz w:val="23"/>
                <w:szCs w:val="23"/>
              </w:rPr>
              <w:t xml:space="preserve"> mesi di età eventualmente presenti nei centri;</w:t>
            </w:r>
          </w:p>
          <w:p w14:paraId="25A8D4C1"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riguardante l’eventuale somministrazione di farmaci e di altre prestazioni sanitarie (es. visite specialistiche, protesi non previste dal SSN, spese connesse allo svolgimento di terapie) rapportato ad un limite massimo di 500,00 euro all’anno </w:t>
            </w:r>
            <w:r w:rsidRPr="006C6094">
              <w:rPr>
                <w:rFonts w:ascii="Arial" w:eastAsia="Calibri" w:hAnsi="Arial" w:cs="Arial"/>
                <w:b/>
                <w:sz w:val="23"/>
                <w:szCs w:val="23"/>
              </w:rPr>
              <w:t>per ciascun posto di accoglienza previsto dal contratto ed indipendentemente dal relativo turnover</w:t>
            </w:r>
            <w:r w:rsidRPr="006C6094">
              <w:rPr>
                <w:rFonts w:ascii="Arial" w:eastAsia="Calibri" w:hAnsi="Arial" w:cs="Arial"/>
                <w:sz w:val="23"/>
                <w:szCs w:val="23"/>
              </w:rPr>
              <w:t>;</w:t>
            </w:r>
          </w:p>
          <w:p w14:paraId="58F6AA7B"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riguardante l’eventuale fornitura di materiale didattico nonché materiale ludico e trasporto scolastico per minori, rapportato ad un limite massimo di 180,00 euro all’anno </w:t>
            </w:r>
            <w:r w:rsidRPr="006C6094">
              <w:rPr>
                <w:rFonts w:ascii="Arial" w:eastAsia="Calibri" w:hAnsi="Arial" w:cs="Arial"/>
                <w:b/>
                <w:sz w:val="23"/>
                <w:szCs w:val="23"/>
              </w:rPr>
              <w:t>per ciascun posto di accoglienza effettivamente dedicato ai minori e indipendentemente dal relativo turnover</w:t>
            </w:r>
            <w:r w:rsidRPr="006C6094">
              <w:rPr>
                <w:rFonts w:ascii="Arial" w:eastAsia="Calibri" w:hAnsi="Arial" w:cs="Arial"/>
                <w:sz w:val="23"/>
                <w:szCs w:val="23"/>
              </w:rPr>
              <w:t>.</w:t>
            </w:r>
          </w:p>
          <w:p w14:paraId="09F71DA2" w14:textId="43E48A82" w:rsidR="006C6094" w:rsidRPr="006C6094" w:rsidRDefault="006C6094" w:rsidP="006C6094">
            <w:pPr>
              <w:jc w:val="both"/>
              <w:rPr>
                <w:rFonts w:ascii="Arial" w:eastAsia="Calibri" w:hAnsi="Arial" w:cs="Arial"/>
                <w:sz w:val="23"/>
                <w:szCs w:val="23"/>
              </w:rPr>
            </w:pPr>
            <w:r w:rsidRPr="00E15B98">
              <w:rPr>
                <w:rFonts w:ascii="Arial" w:eastAsia="Calibri" w:hAnsi="Arial" w:cs="Arial"/>
                <w:sz w:val="23"/>
                <w:szCs w:val="23"/>
                <w:u w:val="single"/>
              </w:rPr>
              <w:t>Alla liquidazione dei corrispettivi e al rimborso dei costi riguardanti le prestazioni sopra elencate può aggiungersi, in corso di esecuzione del contratto, il rimborso dei costi vivi appositamente documentati dall’aggiudicatario in relazione agli eventuali servizi di trasporto di cui all’art. 2, lett. B), n. 7, punti a), b), e c)</w:t>
            </w:r>
            <w:r w:rsidR="00E6752C">
              <w:rPr>
                <w:rFonts w:ascii="Arial" w:eastAsia="Calibri" w:hAnsi="Arial" w:cs="Arial"/>
                <w:sz w:val="23"/>
                <w:szCs w:val="23"/>
                <w:u w:val="single"/>
              </w:rPr>
              <w:t>, e n. 8,</w:t>
            </w:r>
            <w:r w:rsidRPr="00E15B98">
              <w:rPr>
                <w:rFonts w:ascii="Arial" w:eastAsia="Calibri" w:hAnsi="Arial" w:cs="Arial"/>
                <w:sz w:val="23"/>
                <w:szCs w:val="23"/>
                <w:u w:val="single"/>
              </w:rPr>
              <w:t xml:space="preserve"> dello schema di capitolato</w:t>
            </w:r>
            <w:r w:rsidRPr="006C6094">
              <w:rPr>
                <w:rFonts w:ascii="Arial" w:eastAsia="Calibri" w:hAnsi="Arial" w:cs="Arial"/>
                <w:sz w:val="23"/>
                <w:szCs w:val="23"/>
              </w:rPr>
              <w:t xml:space="preserve">. </w:t>
            </w:r>
            <w:r w:rsidRPr="00E15B98">
              <w:rPr>
                <w:rFonts w:ascii="Arial" w:eastAsia="Calibri" w:hAnsi="Arial" w:cs="Arial"/>
                <w:sz w:val="23"/>
                <w:szCs w:val="23"/>
                <w:u w:val="single"/>
              </w:rPr>
              <w:t>Tali costi vivi, non essendo oggettivamente predeterminabili dall’Amministrazione sul piano delle sottese esigenze, delle circostanze e delle concrete modalità di erogazione del trasporto, non vengono pertanto quantificati in misura pro-die/pro-capite nell’ambito delle sottostanti tabelle.</w:t>
            </w:r>
          </w:p>
          <w:p w14:paraId="185471A0" w14:textId="377C865B" w:rsidR="003F6BCC" w:rsidRPr="006C6094" w:rsidRDefault="003F6BCC" w:rsidP="006C6094">
            <w:pPr>
              <w:jc w:val="both"/>
              <w:rPr>
                <w:rFonts w:ascii="Arial" w:eastAsia="Calibri" w:hAnsi="Arial" w:cs="Arial"/>
                <w:sz w:val="23"/>
                <w:szCs w:val="23"/>
              </w:rPr>
            </w:pPr>
          </w:p>
        </w:tc>
        <w:tc>
          <w:tcPr>
            <w:tcW w:w="73" w:type="pct"/>
            <w:tcBorders>
              <w:top w:val="nil"/>
              <w:left w:val="nil"/>
              <w:bottom w:val="nil"/>
              <w:right w:val="nil"/>
            </w:tcBorders>
            <w:shd w:val="clear" w:color="auto" w:fill="auto"/>
            <w:noWrap/>
          </w:tcPr>
          <w:p w14:paraId="7A97D51F" w14:textId="77777777" w:rsidR="006C6094" w:rsidRPr="006C6094" w:rsidRDefault="006C6094" w:rsidP="006C6094">
            <w:pPr>
              <w:jc w:val="both"/>
              <w:rPr>
                <w:rFonts w:ascii="Calibri" w:eastAsia="Calibri" w:hAnsi="Calibri" w:cs="Times New Roman"/>
              </w:rPr>
            </w:pPr>
          </w:p>
        </w:tc>
      </w:tr>
    </w:tbl>
    <w:p w14:paraId="3DE7923E" w14:textId="77777777" w:rsidR="003F6BCC" w:rsidRDefault="003F6BCC" w:rsidP="00882A35">
      <w:pPr>
        <w:jc w:val="both"/>
        <w:sectPr w:rsidR="003F6BCC" w:rsidSect="00920EAE">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8" w:footer="708" w:gutter="0"/>
          <w:cols w:space="708"/>
          <w:docGrid w:linePitch="360"/>
        </w:sectPr>
      </w:pPr>
    </w:p>
    <w:p w14:paraId="22D2DCBB" w14:textId="189A3E2B" w:rsidR="00516366" w:rsidRDefault="00516366" w:rsidP="0031421D">
      <w:pPr>
        <w:jc w:val="both"/>
      </w:pPr>
    </w:p>
    <w:p w14:paraId="568168CA" w14:textId="150F2CBF" w:rsidR="00516366" w:rsidRDefault="00516366" w:rsidP="00BD3B5A">
      <w:pPr>
        <w:jc w:val="center"/>
      </w:pPr>
      <w:r w:rsidRPr="00516366">
        <w:rPr>
          <w:noProof/>
          <w:lang w:eastAsia="it-IT"/>
        </w:rPr>
        <w:lastRenderedPageBreak/>
        <w:drawing>
          <wp:inline distT="0" distB="0" distL="0" distR="0" wp14:anchorId="21F05123" wp14:editId="43124E6A">
            <wp:extent cx="5876925" cy="952881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8962" cy="9532112"/>
                    </a:xfrm>
                    <a:prstGeom prst="rect">
                      <a:avLst/>
                    </a:prstGeom>
                    <a:noFill/>
                    <a:ln>
                      <a:noFill/>
                    </a:ln>
                  </pic:spPr>
                </pic:pic>
              </a:graphicData>
            </a:graphic>
          </wp:inline>
        </w:drawing>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 lotto unico!R1C2:R35C" </w:instrText>
      </w:r>
      <w:r w:rsidR="0031421D">
        <w:instrText xml:space="preserve">\a \f 4 \h </w:instrText>
      </w:r>
      <w:r w:rsidR="009F78DA">
        <w:instrText xml:space="preserve"> \* MERGEFORMAT </w:instrText>
      </w:r>
      <w:r w:rsidR="0031421D">
        <w:fldChar w:fldCharType="separate"/>
      </w:r>
    </w:p>
    <w:p w14:paraId="460707A1" w14:textId="7150D3A2" w:rsidR="003F6BCC" w:rsidRDefault="0031421D" w:rsidP="00516366">
      <w:pPr>
        <w:jc w:val="center"/>
      </w:pPr>
      <w:r>
        <w:lastRenderedPageBreak/>
        <w:fldChar w:fldCharType="end"/>
      </w:r>
      <w:r w:rsidR="00516366" w:rsidRPr="00516366">
        <w:rPr>
          <w:noProof/>
          <w:lang w:eastAsia="it-IT"/>
        </w:rPr>
        <w:drawing>
          <wp:inline distT="0" distB="0" distL="0" distR="0" wp14:anchorId="3C5EC013" wp14:editId="671BF370">
            <wp:extent cx="5380863" cy="911923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7239" cy="9130040"/>
                    </a:xfrm>
                    <a:prstGeom prst="rect">
                      <a:avLst/>
                    </a:prstGeom>
                    <a:noFill/>
                    <a:ln>
                      <a:noFill/>
                    </a:ln>
                  </pic:spPr>
                </pic:pic>
              </a:graphicData>
            </a:graphic>
          </wp:inline>
        </w:drawing>
      </w:r>
      <w:r w:rsidR="003F6BCC">
        <w:br w:type="page"/>
      </w:r>
    </w:p>
    <w:p w14:paraId="1BA2202A" w14:textId="3933CAE8" w:rsidR="0074293B" w:rsidRDefault="00516366" w:rsidP="00516366">
      <w:pPr>
        <w:jc w:val="center"/>
      </w:pPr>
      <w:r w:rsidRPr="00516366">
        <w:rPr>
          <w:noProof/>
          <w:lang w:eastAsia="it-IT"/>
        </w:rPr>
        <w:lastRenderedPageBreak/>
        <w:drawing>
          <wp:inline distT="0" distB="0" distL="0" distR="0" wp14:anchorId="6E59B353" wp14:editId="75898EAF">
            <wp:extent cx="6343650" cy="86582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43650" cy="8658225"/>
                    </a:xfrm>
                    <a:prstGeom prst="rect">
                      <a:avLst/>
                    </a:prstGeom>
                    <a:noFill/>
                    <a:ln>
                      <a:noFill/>
                    </a:ln>
                  </pic:spPr>
                </pic:pic>
              </a:graphicData>
            </a:graphic>
          </wp:inline>
        </w:drawing>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collettivi lotti separat!R" </w:instrText>
      </w:r>
      <w:r w:rsidR="0031421D">
        <w:instrText xml:space="preserve">\a \f 4 \h </w:instrText>
      </w:r>
      <w:r w:rsidR="009F78DA">
        <w:instrText xml:space="preserve"> \* MERGEFORMAT </w:instrText>
      </w:r>
      <w:r w:rsidR="0031421D">
        <w:fldChar w:fldCharType="separate"/>
      </w:r>
    </w:p>
    <w:p w14:paraId="4CBC930F" w14:textId="1F4F869E" w:rsidR="003F6BCC" w:rsidRDefault="0031421D" w:rsidP="00516366">
      <w:pPr>
        <w:jc w:val="center"/>
      </w:pPr>
      <w:r>
        <w:lastRenderedPageBreak/>
        <w:fldChar w:fldCharType="end"/>
      </w:r>
      <w:r w:rsidR="00CD6AA3">
        <w:br w:type="textWrapping" w:clear="all"/>
      </w:r>
      <w:r w:rsidR="003F6BCC">
        <w:br w:type="page"/>
      </w:r>
    </w:p>
    <w:p w14:paraId="4F2689F9" w14:textId="77777777" w:rsidR="0050324A" w:rsidRDefault="0050324A" w:rsidP="00274501">
      <w:pPr>
        <w:jc w:val="both"/>
      </w:pPr>
    </w:p>
    <w:p w14:paraId="23E38B96" w14:textId="6F74C927" w:rsidR="00383BA4" w:rsidRDefault="00516366" w:rsidP="00516366">
      <w:pPr>
        <w:jc w:val="center"/>
      </w:pPr>
      <w:r w:rsidRPr="00516366">
        <w:rPr>
          <w:noProof/>
          <w:lang w:eastAsia="it-IT"/>
        </w:rPr>
        <w:drawing>
          <wp:inline distT="0" distB="0" distL="0" distR="0" wp14:anchorId="50F27811" wp14:editId="6E942CC8">
            <wp:extent cx="6133321" cy="550545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0429" cy="5520807"/>
                    </a:xfrm>
                    <a:prstGeom prst="rect">
                      <a:avLst/>
                    </a:prstGeom>
                    <a:noFill/>
                    <a:ln>
                      <a:noFill/>
                    </a:ln>
                  </pic:spPr>
                </pic:pic>
              </a:graphicData>
            </a:graphic>
          </wp:inline>
        </w:drawing>
      </w:r>
    </w:p>
    <w:p w14:paraId="6B6EB5A8" w14:textId="4D386BEA" w:rsidR="003F6BCC" w:rsidRDefault="003F6BCC">
      <w:r>
        <w:br w:type="page"/>
      </w:r>
    </w:p>
    <w:p w14:paraId="793FF1C4" w14:textId="6F1F9597" w:rsidR="0074293B" w:rsidRDefault="009F78DA" w:rsidP="009F78DA">
      <w:pPr>
        <w:jc w:val="center"/>
      </w:pPr>
      <w:r>
        <w:lastRenderedPageBreak/>
        <w:fldChar w:fldCharType="begin"/>
      </w:r>
      <w:r>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hub!R1C2:R28C6 </w:instrText>
      </w:r>
      <w:r>
        <w:instrText xml:space="preserve">\a \f 4 \h </w:instrText>
      </w:r>
      <w:r w:rsidR="003A0CFC">
        <w:instrText xml:space="preserve"> \* MERGEFORMAT </w:instrText>
      </w:r>
      <w:r>
        <w:fldChar w:fldCharType="separate"/>
      </w:r>
    </w:p>
    <w:p w14:paraId="65D98726" w14:textId="1AFD17E7" w:rsidR="003F6BCC" w:rsidRDefault="009F78DA" w:rsidP="009F78DA">
      <w:pPr>
        <w:jc w:val="center"/>
      </w:pPr>
      <w:r>
        <w:fldChar w:fldCharType="end"/>
      </w:r>
      <w:r w:rsidR="00516366" w:rsidRPr="00516366">
        <w:rPr>
          <w:noProof/>
          <w:lang w:eastAsia="it-IT"/>
        </w:rPr>
        <w:drawing>
          <wp:inline distT="0" distB="0" distL="0" distR="0" wp14:anchorId="7319E221" wp14:editId="7B480B65">
            <wp:extent cx="6264275" cy="5791200"/>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0818" cy="5797249"/>
                    </a:xfrm>
                    <a:prstGeom prst="rect">
                      <a:avLst/>
                    </a:prstGeom>
                    <a:noFill/>
                    <a:ln>
                      <a:noFill/>
                    </a:ln>
                  </pic:spPr>
                </pic:pic>
              </a:graphicData>
            </a:graphic>
          </wp:inline>
        </w:drawing>
      </w:r>
      <w:r w:rsidR="003F6BCC">
        <w:br w:type="page"/>
      </w:r>
    </w:p>
    <w:p w14:paraId="495184CB" w14:textId="09B13F17" w:rsidR="0074293B" w:rsidRDefault="009F78DA" w:rsidP="009F78DA">
      <w:pPr>
        <w:jc w:val="center"/>
      </w:pPr>
      <w:r>
        <w:lastRenderedPageBreak/>
        <w:fldChar w:fldCharType="begin"/>
      </w:r>
      <w:r>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cpr!R1C2:R28C7 </w:instrText>
      </w:r>
      <w:r>
        <w:instrText xml:space="preserve">\a \f 4 \h  \* MERGEFORMAT </w:instrText>
      </w:r>
      <w:r>
        <w:fldChar w:fldCharType="separate"/>
      </w:r>
    </w:p>
    <w:p w14:paraId="3B4D624E" w14:textId="77777777" w:rsidR="006B79B9" w:rsidRDefault="009F78DA" w:rsidP="009F78DA">
      <w:pPr>
        <w:jc w:val="center"/>
        <w:rPr>
          <w:noProof/>
          <w:lang w:eastAsia="it-IT"/>
        </w:rPr>
      </w:pPr>
      <w:r>
        <w:fldChar w:fldCharType="end"/>
      </w:r>
    </w:p>
    <w:p w14:paraId="5A201D24" w14:textId="69108F11" w:rsidR="007F3156" w:rsidRDefault="00516366" w:rsidP="009F78DA">
      <w:pPr>
        <w:jc w:val="center"/>
      </w:pPr>
      <w:r w:rsidRPr="00516366">
        <w:rPr>
          <w:noProof/>
          <w:lang w:eastAsia="it-IT"/>
        </w:rPr>
        <w:drawing>
          <wp:inline distT="0" distB="0" distL="0" distR="0" wp14:anchorId="1FC1FED4" wp14:editId="3FDCA2C7">
            <wp:extent cx="6238875" cy="6946716"/>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9988" cy="6947955"/>
                    </a:xfrm>
                    <a:prstGeom prst="rect">
                      <a:avLst/>
                    </a:prstGeom>
                    <a:noFill/>
                    <a:ln>
                      <a:noFill/>
                    </a:ln>
                  </pic:spPr>
                </pic:pic>
              </a:graphicData>
            </a:graphic>
          </wp:inline>
        </w:drawing>
      </w:r>
    </w:p>
    <w:sectPr w:rsidR="007F3156" w:rsidSect="00BD3B5A">
      <w:pgSz w:w="11906" w:h="16838" w:code="9"/>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2C62A" w14:textId="77777777" w:rsidR="0074293B" w:rsidRDefault="0074293B" w:rsidP="0050324A">
      <w:pPr>
        <w:spacing w:after="0" w:line="240" w:lineRule="auto"/>
      </w:pPr>
      <w:r>
        <w:separator/>
      </w:r>
    </w:p>
  </w:endnote>
  <w:endnote w:type="continuationSeparator" w:id="0">
    <w:p w14:paraId="540820AD" w14:textId="77777777" w:rsidR="0074293B" w:rsidRDefault="0074293B" w:rsidP="005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EA61" w14:textId="77777777" w:rsidR="00581BBC" w:rsidRDefault="00581BB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85CA2" w14:textId="77777777" w:rsidR="00581BBC" w:rsidRDefault="00581BB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93FE4" w14:textId="77777777" w:rsidR="00581BBC" w:rsidRDefault="00581BB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452C" w14:textId="77777777" w:rsidR="0074293B" w:rsidRDefault="0074293B" w:rsidP="0050324A">
      <w:pPr>
        <w:spacing w:after="0" w:line="240" w:lineRule="auto"/>
      </w:pPr>
      <w:r>
        <w:separator/>
      </w:r>
    </w:p>
  </w:footnote>
  <w:footnote w:type="continuationSeparator" w:id="0">
    <w:p w14:paraId="068ED1B3" w14:textId="77777777" w:rsidR="0074293B" w:rsidRDefault="0074293B" w:rsidP="00503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6C7F" w14:textId="77777777" w:rsidR="00581BBC" w:rsidRDefault="00581BB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DB03" w14:textId="168CC3DF" w:rsidR="0074293B" w:rsidRDefault="0074293B" w:rsidP="00E15B98">
    <w:pPr>
      <w:pStyle w:val="Intestazione"/>
      <w:jc w:val="right"/>
      <w:rPr>
        <w:rFonts w:ascii="Arial Narrow" w:hAnsi="Arial Narrow"/>
        <w:b/>
        <w:sz w:val="28"/>
        <w:szCs w:val="24"/>
      </w:rPr>
    </w:pPr>
    <w:r w:rsidRPr="00581BBC">
      <w:rPr>
        <w:rFonts w:ascii="Arial Narrow" w:hAnsi="Arial Narrow"/>
        <w:b/>
        <w:sz w:val="28"/>
        <w:szCs w:val="24"/>
      </w:rPr>
      <w:t>ALLEGATO B</w:t>
    </w:r>
  </w:p>
  <w:p w14:paraId="3142FBDC" w14:textId="77777777" w:rsidR="00581BBC" w:rsidRPr="00581BBC" w:rsidRDefault="00581BBC" w:rsidP="00E15B98">
    <w:pPr>
      <w:pStyle w:val="Intestazione"/>
      <w:jc w:val="right"/>
      <w:rPr>
        <w:rFonts w:ascii="Arial Narrow" w:hAnsi="Arial Narrow"/>
        <w:b/>
        <w:sz w:val="28"/>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E8D2D" w14:textId="77777777" w:rsidR="00581BBC" w:rsidRDefault="00581BB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870"/>
    <w:multiLevelType w:val="hybridMultilevel"/>
    <w:tmpl w:val="290E4F3E"/>
    <w:lvl w:ilvl="0" w:tplc="768E9DB0">
      <w:start w:val="1"/>
      <w:numFmt w:val="decimal"/>
      <w:lvlText w:val="%1."/>
      <w:lvlJc w:val="left"/>
      <w:pPr>
        <w:ind w:left="786" w:hanging="360"/>
      </w:pPr>
      <w:rPr>
        <w:rFonts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AD2814"/>
    <w:multiLevelType w:val="hybridMultilevel"/>
    <w:tmpl w:val="89DAFB64"/>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FD"/>
    <w:rsid w:val="00000F4B"/>
    <w:rsid w:val="00004B9E"/>
    <w:rsid w:val="000137C3"/>
    <w:rsid w:val="0003527E"/>
    <w:rsid w:val="00054C9D"/>
    <w:rsid w:val="0007544F"/>
    <w:rsid w:val="00095B43"/>
    <w:rsid w:val="000D4933"/>
    <w:rsid w:val="000E4D2D"/>
    <w:rsid w:val="001012C0"/>
    <w:rsid w:val="001510F0"/>
    <w:rsid w:val="00174B49"/>
    <w:rsid w:val="00174DF5"/>
    <w:rsid w:val="00186A09"/>
    <w:rsid w:val="001A6407"/>
    <w:rsid w:val="001A65A4"/>
    <w:rsid w:val="001C06E5"/>
    <w:rsid w:val="001C360C"/>
    <w:rsid w:val="001D376D"/>
    <w:rsid w:val="001E34AF"/>
    <w:rsid w:val="00272402"/>
    <w:rsid w:val="00274501"/>
    <w:rsid w:val="002A2C0B"/>
    <w:rsid w:val="002B46AD"/>
    <w:rsid w:val="003005E0"/>
    <w:rsid w:val="0031421D"/>
    <w:rsid w:val="0036692E"/>
    <w:rsid w:val="0037722C"/>
    <w:rsid w:val="00383BA4"/>
    <w:rsid w:val="003A0CFC"/>
    <w:rsid w:val="003F1D2C"/>
    <w:rsid w:val="003F6BCC"/>
    <w:rsid w:val="00406BFD"/>
    <w:rsid w:val="0044350A"/>
    <w:rsid w:val="00457E5C"/>
    <w:rsid w:val="004C219E"/>
    <w:rsid w:val="00500097"/>
    <w:rsid w:val="0050324A"/>
    <w:rsid w:val="00516366"/>
    <w:rsid w:val="00581BBC"/>
    <w:rsid w:val="005D1FA5"/>
    <w:rsid w:val="006B0C96"/>
    <w:rsid w:val="006B79B9"/>
    <w:rsid w:val="006C2962"/>
    <w:rsid w:val="006C6094"/>
    <w:rsid w:val="006C6CBF"/>
    <w:rsid w:val="006F70C9"/>
    <w:rsid w:val="00705EBE"/>
    <w:rsid w:val="0074293B"/>
    <w:rsid w:val="007F3156"/>
    <w:rsid w:val="00834114"/>
    <w:rsid w:val="00882A35"/>
    <w:rsid w:val="00911B6E"/>
    <w:rsid w:val="00920EAE"/>
    <w:rsid w:val="00954728"/>
    <w:rsid w:val="00990894"/>
    <w:rsid w:val="009950E8"/>
    <w:rsid w:val="009E2492"/>
    <w:rsid w:val="009E3EAA"/>
    <w:rsid w:val="009F78DA"/>
    <w:rsid w:val="00A14D76"/>
    <w:rsid w:val="00A846FF"/>
    <w:rsid w:val="00B07706"/>
    <w:rsid w:val="00B20CC3"/>
    <w:rsid w:val="00B35E22"/>
    <w:rsid w:val="00B373B9"/>
    <w:rsid w:val="00BC1CE8"/>
    <w:rsid w:val="00BC7DFB"/>
    <w:rsid w:val="00BD3B5A"/>
    <w:rsid w:val="00BF0EEC"/>
    <w:rsid w:val="00C330B1"/>
    <w:rsid w:val="00C46923"/>
    <w:rsid w:val="00C734AD"/>
    <w:rsid w:val="00CD3F1F"/>
    <w:rsid w:val="00CD6AA3"/>
    <w:rsid w:val="00D003B2"/>
    <w:rsid w:val="00D0303F"/>
    <w:rsid w:val="00D11D3B"/>
    <w:rsid w:val="00D50601"/>
    <w:rsid w:val="00D6216B"/>
    <w:rsid w:val="00E15B98"/>
    <w:rsid w:val="00E66D21"/>
    <w:rsid w:val="00E6752C"/>
    <w:rsid w:val="00E762D9"/>
    <w:rsid w:val="00EE010B"/>
    <w:rsid w:val="00EF5733"/>
    <w:rsid w:val="00F16D18"/>
    <w:rsid w:val="00FE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876"/>
  <w15:chartTrackingRefBased/>
  <w15:docId w15:val="{3FCC4BAD-EC7A-4DD5-A8D1-BBF46639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2853">
      <w:bodyDiv w:val="1"/>
      <w:marLeft w:val="0"/>
      <w:marRight w:val="0"/>
      <w:marTop w:val="0"/>
      <w:marBottom w:val="0"/>
      <w:divBdr>
        <w:top w:val="none" w:sz="0" w:space="0" w:color="auto"/>
        <w:left w:val="none" w:sz="0" w:space="0" w:color="auto"/>
        <w:bottom w:val="none" w:sz="0" w:space="0" w:color="auto"/>
        <w:right w:val="none" w:sz="0" w:space="0" w:color="auto"/>
      </w:divBdr>
    </w:div>
    <w:div w:id="111751559">
      <w:bodyDiv w:val="1"/>
      <w:marLeft w:val="0"/>
      <w:marRight w:val="0"/>
      <w:marTop w:val="0"/>
      <w:marBottom w:val="0"/>
      <w:divBdr>
        <w:top w:val="none" w:sz="0" w:space="0" w:color="auto"/>
        <w:left w:val="none" w:sz="0" w:space="0" w:color="auto"/>
        <w:bottom w:val="none" w:sz="0" w:space="0" w:color="auto"/>
        <w:right w:val="none" w:sz="0" w:space="0" w:color="auto"/>
      </w:divBdr>
    </w:div>
    <w:div w:id="192809756">
      <w:bodyDiv w:val="1"/>
      <w:marLeft w:val="0"/>
      <w:marRight w:val="0"/>
      <w:marTop w:val="0"/>
      <w:marBottom w:val="0"/>
      <w:divBdr>
        <w:top w:val="none" w:sz="0" w:space="0" w:color="auto"/>
        <w:left w:val="none" w:sz="0" w:space="0" w:color="auto"/>
        <w:bottom w:val="none" w:sz="0" w:space="0" w:color="auto"/>
        <w:right w:val="none" w:sz="0" w:space="0" w:color="auto"/>
      </w:divBdr>
    </w:div>
    <w:div w:id="200829657">
      <w:bodyDiv w:val="1"/>
      <w:marLeft w:val="0"/>
      <w:marRight w:val="0"/>
      <w:marTop w:val="0"/>
      <w:marBottom w:val="0"/>
      <w:divBdr>
        <w:top w:val="none" w:sz="0" w:space="0" w:color="auto"/>
        <w:left w:val="none" w:sz="0" w:space="0" w:color="auto"/>
        <w:bottom w:val="none" w:sz="0" w:space="0" w:color="auto"/>
        <w:right w:val="none" w:sz="0" w:space="0" w:color="auto"/>
      </w:divBdr>
    </w:div>
    <w:div w:id="300574282">
      <w:bodyDiv w:val="1"/>
      <w:marLeft w:val="0"/>
      <w:marRight w:val="0"/>
      <w:marTop w:val="0"/>
      <w:marBottom w:val="0"/>
      <w:divBdr>
        <w:top w:val="none" w:sz="0" w:space="0" w:color="auto"/>
        <w:left w:val="none" w:sz="0" w:space="0" w:color="auto"/>
        <w:bottom w:val="none" w:sz="0" w:space="0" w:color="auto"/>
        <w:right w:val="none" w:sz="0" w:space="0" w:color="auto"/>
      </w:divBdr>
    </w:div>
    <w:div w:id="403993159">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419955583">
      <w:bodyDiv w:val="1"/>
      <w:marLeft w:val="0"/>
      <w:marRight w:val="0"/>
      <w:marTop w:val="0"/>
      <w:marBottom w:val="0"/>
      <w:divBdr>
        <w:top w:val="none" w:sz="0" w:space="0" w:color="auto"/>
        <w:left w:val="none" w:sz="0" w:space="0" w:color="auto"/>
        <w:bottom w:val="none" w:sz="0" w:space="0" w:color="auto"/>
        <w:right w:val="none" w:sz="0" w:space="0" w:color="auto"/>
      </w:divBdr>
    </w:div>
    <w:div w:id="441920205">
      <w:bodyDiv w:val="1"/>
      <w:marLeft w:val="0"/>
      <w:marRight w:val="0"/>
      <w:marTop w:val="0"/>
      <w:marBottom w:val="0"/>
      <w:divBdr>
        <w:top w:val="none" w:sz="0" w:space="0" w:color="auto"/>
        <w:left w:val="none" w:sz="0" w:space="0" w:color="auto"/>
        <w:bottom w:val="none" w:sz="0" w:space="0" w:color="auto"/>
        <w:right w:val="none" w:sz="0" w:space="0" w:color="auto"/>
      </w:divBdr>
    </w:div>
    <w:div w:id="554855363">
      <w:bodyDiv w:val="1"/>
      <w:marLeft w:val="0"/>
      <w:marRight w:val="0"/>
      <w:marTop w:val="0"/>
      <w:marBottom w:val="0"/>
      <w:divBdr>
        <w:top w:val="none" w:sz="0" w:space="0" w:color="auto"/>
        <w:left w:val="none" w:sz="0" w:space="0" w:color="auto"/>
        <w:bottom w:val="none" w:sz="0" w:space="0" w:color="auto"/>
        <w:right w:val="none" w:sz="0" w:space="0" w:color="auto"/>
      </w:divBdr>
    </w:div>
    <w:div w:id="582681986">
      <w:bodyDiv w:val="1"/>
      <w:marLeft w:val="0"/>
      <w:marRight w:val="0"/>
      <w:marTop w:val="0"/>
      <w:marBottom w:val="0"/>
      <w:divBdr>
        <w:top w:val="none" w:sz="0" w:space="0" w:color="auto"/>
        <w:left w:val="none" w:sz="0" w:space="0" w:color="auto"/>
        <w:bottom w:val="none" w:sz="0" w:space="0" w:color="auto"/>
        <w:right w:val="none" w:sz="0" w:space="0" w:color="auto"/>
      </w:divBdr>
    </w:div>
    <w:div w:id="661202421">
      <w:bodyDiv w:val="1"/>
      <w:marLeft w:val="0"/>
      <w:marRight w:val="0"/>
      <w:marTop w:val="0"/>
      <w:marBottom w:val="0"/>
      <w:divBdr>
        <w:top w:val="none" w:sz="0" w:space="0" w:color="auto"/>
        <w:left w:val="none" w:sz="0" w:space="0" w:color="auto"/>
        <w:bottom w:val="none" w:sz="0" w:space="0" w:color="auto"/>
        <w:right w:val="none" w:sz="0" w:space="0" w:color="auto"/>
      </w:divBdr>
    </w:div>
    <w:div w:id="690762578">
      <w:bodyDiv w:val="1"/>
      <w:marLeft w:val="0"/>
      <w:marRight w:val="0"/>
      <w:marTop w:val="0"/>
      <w:marBottom w:val="0"/>
      <w:divBdr>
        <w:top w:val="none" w:sz="0" w:space="0" w:color="auto"/>
        <w:left w:val="none" w:sz="0" w:space="0" w:color="auto"/>
        <w:bottom w:val="none" w:sz="0" w:space="0" w:color="auto"/>
        <w:right w:val="none" w:sz="0" w:space="0" w:color="auto"/>
      </w:divBdr>
    </w:div>
    <w:div w:id="780107099">
      <w:bodyDiv w:val="1"/>
      <w:marLeft w:val="0"/>
      <w:marRight w:val="0"/>
      <w:marTop w:val="0"/>
      <w:marBottom w:val="0"/>
      <w:divBdr>
        <w:top w:val="none" w:sz="0" w:space="0" w:color="auto"/>
        <w:left w:val="none" w:sz="0" w:space="0" w:color="auto"/>
        <w:bottom w:val="none" w:sz="0" w:space="0" w:color="auto"/>
        <w:right w:val="none" w:sz="0" w:space="0" w:color="auto"/>
      </w:divBdr>
    </w:div>
    <w:div w:id="792283812">
      <w:bodyDiv w:val="1"/>
      <w:marLeft w:val="0"/>
      <w:marRight w:val="0"/>
      <w:marTop w:val="0"/>
      <w:marBottom w:val="0"/>
      <w:divBdr>
        <w:top w:val="none" w:sz="0" w:space="0" w:color="auto"/>
        <w:left w:val="none" w:sz="0" w:space="0" w:color="auto"/>
        <w:bottom w:val="none" w:sz="0" w:space="0" w:color="auto"/>
        <w:right w:val="none" w:sz="0" w:space="0" w:color="auto"/>
      </w:divBdr>
    </w:div>
    <w:div w:id="793064946">
      <w:bodyDiv w:val="1"/>
      <w:marLeft w:val="0"/>
      <w:marRight w:val="0"/>
      <w:marTop w:val="0"/>
      <w:marBottom w:val="0"/>
      <w:divBdr>
        <w:top w:val="none" w:sz="0" w:space="0" w:color="auto"/>
        <w:left w:val="none" w:sz="0" w:space="0" w:color="auto"/>
        <w:bottom w:val="none" w:sz="0" w:space="0" w:color="auto"/>
        <w:right w:val="none" w:sz="0" w:space="0" w:color="auto"/>
      </w:divBdr>
    </w:div>
    <w:div w:id="824320185">
      <w:bodyDiv w:val="1"/>
      <w:marLeft w:val="0"/>
      <w:marRight w:val="0"/>
      <w:marTop w:val="0"/>
      <w:marBottom w:val="0"/>
      <w:divBdr>
        <w:top w:val="none" w:sz="0" w:space="0" w:color="auto"/>
        <w:left w:val="none" w:sz="0" w:space="0" w:color="auto"/>
        <w:bottom w:val="none" w:sz="0" w:space="0" w:color="auto"/>
        <w:right w:val="none" w:sz="0" w:space="0" w:color="auto"/>
      </w:divBdr>
    </w:div>
    <w:div w:id="993526379">
      <w:bodyDiv w:val="1"/>
      <w:marLeft w:val="0"/>
      <w:marRight w:val="0"/>
      <w:marTop w:val="0"/>
      <w:marBottom w:val="0"/>
      <w:divBdr>
        <w:top w:val="none" w:sz="0" w:space="0" w:color="auto"/>
        <w:left w:val="none" w:sz="0" w:space="0" w:color="auto"/>
        <w:bottom w:val="none" w:sz="0" w:space="0" w:color="auto"/>
        <w:right w:val="none" w:sz="0" w:space="0" w:color="auto"/>
      </w:divBdr>
    </w:div>
    <w:div w:id="1236041128">
      <w:bodyDiv w:val="1"/>
      <w:marLeft w:val="0"/>
      <w:marRight w:val="0"/>
      <w:marTop w:val="0"/>
      <w:marBottom w:val="0"/>
      <w:divBdr>
        <w:top w:val="none" w:sz="0" w:space="0" w:color="auto"/>
        <w:left w:val="none" w:sz="0" w:space="0" w:color="auto"/>
        <w:bottom w:val="none" w:sz="0" w:space="0" w:color="auto"/>
        <w:right w:val="none" w:sz="0" w:space="0" w:color="auto"/>
      </w:divBdr>
    </w:div>
    <w:div w:id="1336028514">
      <w:bodyDiv w:val="1"/>
      <w:marLeft w:val="0"/>
      <w:marRight w:val="0"/>
      <w:marTop w:val="0"/>
      <w:marBottom w:val="0"/>
      <w:divBdr>
        <w:top w:val="none" w:sz="0" w:space="0" w:color="auto"/>
        <w:left w:val="none" w:sz="0" w:space="0" w:color="auto"/>
        <w:bottom w:val="none" w:sz="0" w:space="0" w:color="auto"/>
        <w:right w:val="none" w:sz="0" w:space="0" w:color="auto"/>
      </w:divBdr>
    </w:div>
    <w:div w:id="1378773728">
      <w:bodyDiv w:val="1"/>
      <w:marLeft w:val="0"/>
      <w:marRight w:val="0"/>
      <w:marTop w:val="0"/>
      <w:marBottom w:val="0"/>
      <w:divBdr>
        <w:top w:val="none" w:sz="0" w:space="0" w:color="auto"/>
        <w:left w:val="none" w:sz="0" w:space="0" w:color="auto"/>
        <w:bottom w:val="none" w:sz="0" w:space="0" w:color="auto"/>
        <w:right w:val="none" w:sz="0" w:space="0" w:color="auto"/>
      </w:divBdr>
    </w:div>
    <w:div w:id="1486512583">
      <w:bodyDiv w:val="1"/>
      <w:marLeft w:val="0"/>
      <w:marRight w:val="0"/>
      <w:marTop w:val="0"/>
      <w:marBottom w:val="0"/>
      <w:divBdr>
        <w:top w:val="none" w:sz="0" w:space="0" w:color="auto"/>
        <w:left w:val="none" w:sz="0" w:space="0" w:color="auto"/>
        <w:bottom w:val="none" w:sz="0" w:space="0" w:color="auto"/>
        <w:right w:val="none" w:sz="0" w:space="0" w:color="auto"/>
      </w:divBdr>
    </w:div>
    <w:div w:id="1521821581">
      <w:bodyDiv w:val="1"/>
      <w:marLeft w:val="0"/>
      <w:marRight w:val="0"/>
      <w:marTop w:val="0"/>
      <w:marBottom w:val="0"/>
      <w:divBdr>
        <w:top w:val="none" w:sz="0" w:space="0" w:color="auto"/>
        <w:left w:val="none" w:sz="0" w:space="0" w:color="auto"/>
        <w:bottom w:val="none" w:sz="0" w:space="0" w:color="auto"/>
        <w:right w:val="none" w:sz="0" w:space="0" w:color="auto"/>
      </w:divBdr>
    </w:div>
    <w:div w:id="1555046790">
      <w:bodyDiv w:val="1"/>
      <w:marLeft w:val="0"/>
      <w:marRight w:val="0"/>
      <w:marTop w:val="0"/>
      <w:marBottom w:val="0"/>
      <w:divBdr>
        <w:top w:val="none" w:sz="0" w:space="0" w:color="auto"/>
        <w:left w:val="none" w:sz="0" w:space="0" w:color="auto"/>
        <w:bottom w:val="none" w:sz="0" w:space="0" w:color="auto"/>
        <w:right w:val="none" w:sz="0" w:space="0" w:color="auto"/>
      </w:divBdr>
    </w:div>
    <w:div w:id="1602183522">
      <w:bodyDiv w:val="1"/>
      <w:marLeft w:val="0"/>
      <w:marRight w:val="0"/>
      <w:marTop w:val="0"/>
      <w:marBottom w:val="0"/>
      <w:divBdr>
        <w:top w:val="none" w:sz="0" w:space="0" w:color="auto"/>
        <w:left w:val="none" w:sz="0" w:space="0" w:color="auto"/>
        <w:bottom w:val="none" w:sz="0" w:space="0" w:color="auto"/>
        <w:right w:val="none" w:sz="0" w:space="0" w:color="auto"/>
      </w:divBdr>
    </w:div>
    <w:div w:id="1617373086">
      <w:bodyDiv w:val="1"/>
      <w:marLeft w:val="0"/>
      <w:marRight w:val="0"/>
      <w:marTop w:val="0"/>
      <w:marBottom w:val="0"/>
      <w:divBdr>
        <w:top w:val="none" w:sz="0" w:space="0" w:color="auto"/>
        <w:left w:val="none" w:sz="0" w:space="0" w:color="auto"/>
        <w:bottom w:val="none" w:sz="0" w:space="0" w:color="auto"/>
        <w:right w:val="none" w:sz="0" w:space="0" w:color="auto"/>
      </w:divBdr>
    </w:div>
    <w:div w:id="2000571807">
      <w:bodyDiv w:val="1"/>
      <w:marLeft w:val="0"/>
      <w:marRight w:val="0"/>
      <w:marTop w:val="0"/>
      <w:marBottom w:val="0"/>
      <w:divBdr>
        <w:top w:val="none" w:sz="0" w:space="0" w:color="auto"/>
        <w:left w:val="none" w:sz="0" w:space="0" w:color="auto"/>
        <w:bottom w:val="none" w:sz="0" w:space="0" w:color="auto"/>
        <w:right w:val="none" w:sz="0" w:space="0" w:color="auto"/>
      </w:divBdr>
    </w:div>
    <w:div w:id="2019498600">
      <w:bodyDiv w:val="1"/>
      <w:marLeft w:val="0"/>
      <w:marRight w:val="0"/>
      <w:marTop w:val="0"/>
      <w:marBottom w:val="0"/>
      <w:divBdr>
        <w:top w:val="none" w:sz="0" w:space="0" w:color="auto"/>
        <w:left w:val="none" w:sz="0" w:space="0" w:color="auto"/>
        <w:bottom w:val="none" w:sz="0" w:space="0" w:color="auto"/>
        <w:right w:val="none" w:sz="0" w:space="0" w:color="auto"/>
      </w:divBdr>
    </w:div>
    <w:div w:id="2052222730">
      <w:bodyDiv w:val="1"/>
      <w:marLeft w:val="0"/>
      <w:marRight w:val="0"/>
      <w:marTop w:val="0"/>
      <w:marBottom w:val="0"/>
      <w:divBdr>
        <w:top w:val="none" w:sz="0" w:space="0" w:color="auto"/>
        <w:left w:val="none" w:sz="0" w:space="0" w:color="auto"/>
        <w:bottom w:val="none" w:sz="0" w:space="0" w:color="auto"/>
        <w:right w:val="none" w:sz="0" w:space="0" w:color="auto"/>
      </w:divBdr>
    </w:div>
    <w:div w:id="2068721448">
      <w:bodyDiv w:val="1"/>
      <w:marLeft w:val="0"/>
      <w:marRight w:val="0"/>
      <w:marTop w:val="0"/>
      <w:marBottom w:val="0"/>
      <w:divBdr>
        <w:top w:val="none" w:sz="0" w:space="0" w:color="auto"/>
        <w:left w:val="none" w:sz="0" w:space="0" w:color="auto"/>
        <w:bottom w:val="none" w:sz="0" w:space="0" w:color="auto"/>
        <w:right w:val="none" w:sz="0" w:space="0" w:color="auto"/>
      </w:divBdr>
    </w:div>
    <w:div w:id="2093771513">
      <w:bodyDiv w:val="1"/>
      <w:marLeft w:val="0"/>
      <w:marRight w:val="0"/>
      <w:marTop w:val="0"/>
      <w:marBottom w:val="0"/>
      <w:divBdr>
        <w:top w:val="none" w:sz="0" w:space="0" w:color="auto"/>
        <w:left w:val="none" w:sz="0" w:space="0" w:color="auto"/>
        <w:bottom w:val="none" w:sz="0" w:space="0" w:color="auto"/>
        <w:right w:val="none" w:sz="0" w:space="0" w:color="auto"/>
      </w:divBdr>
    </w:div>
    <w:div w:id="21033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2821</Words>
  <Characters>16083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Gabriele Giugliano</cp:lastModifiedBy>
  <cp:revision>10</cp:revision>
  <cp:lastPrinted>2024-02-21T16:35:00Z</cp:lastPrinted>
  <dcterms:created xsi:type="dcterms:W3CDTF">2024-01-22T16:33:00Z</dcterms:created>
  <dcterms:modified xsi:type="dcterms:W3CDTF">2024-02-29T10:58:00Z</dcterms:modified>
</cp:coreProperties>
</file>