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17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17"/>
      </w:tblGrid>
      <w:tr w:rsidR="00E70F3D">
        <w:trPr>
          <w:trHeight w:val="2318"/>
        </w:trPr>
        <w:tc>
          <w:tcPr>
            <w:tcW w:w="10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F3D" w:rsidRDefault="00E70F3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70F3D" w:rsidRDefault="00D50F6B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Il presente documento deve essere obbligatoriamente sottoscritto da parte del concorrente e presentato unitamente alla documentazione amministrativa. </w:t>
            </w:r>
          </w:p>
          <w:p w:rsidR="00E70F3D" w:rsidRDefault="00E70F3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70F3D" w:rsidRDefault="00D50F6B">
            <w:r>
              <w:rPr>
                <w:rFonts w:ascii="Arial" w:hAnsi="Arial" w:cs="Arial"/>
                <w:bCs/>
                <w:sz w:val="16"/>
                <w:szCs w:val="16"/>
              </w:rPr>
              <w:t xml:space="preserve">In caso di partecipazione in forma plurima (RTI/Consorzi 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>ordinari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sia costituiti che costituendi) il Patto deve essere firmato dal legale rappresentante/procuratore speciale di 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ogni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componente. </w:t>
            </w:r>
          </w:p>
          <w:p w:rsidR="00E70F3D" w:rsidRDefault="00E70F3D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E70F3D" w:rsidRDefault="00D50F6B">
            <w:r>
              <w:rPr>
                <w:rFonts w:ascii="Arial" w:hAnsi="Arial" w:cs="Arial"/>
                <w:bCs/>
                <w:sz w:val="16"/>
                <w:szCs w:val="16"/>
              </w:rPr>
              <w:t xml:space="preserve">In caso di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single"/>
              </w:rPr>
              <w:t>consorzi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di cui all’art. 46 co. 1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lett</w:t>
            </w:r>
            <w:proofErr w:type="spellEnd"/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. f) del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D.Lgs.</w:t>
            </w:r>
            <w:proofErr w:type="spellEnd"/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50/2016 che partecipano 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  <w:u w:val="single"/>
              </w:rPr>
              <w:t>in proprio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il Patto deve essere firmato dal legale rappresentante/procuratore speciale del consorzio. </w:t>
            </w:r>
          </w:p>
          <w:p w:rsidR="00E70F3D" w:rsidRDefault="00E70F3D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  <w:p w:rsidR="00E70F3D" w:rsidRDefault="00D50F6B"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In caso di consorzi di cui all’art. 46 co. 1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lett</w:t>
            </w:r>
            <w:proofErr w:type="spellEnd"/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. f) del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D.Lgs.</w:t>
            </w:r>
            <w:proofErr w:type="spellEnd"/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50/2016 che partecipano per alcune consorziate il Patto deve essere firmato dal legale rappresentante/procuratore speciale del consorzio e delle singole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consorziate esecutrici. </w:t>
            </w:r>
          </w:p>
        </w:tc>
      </w:tr>
    </w:tbl>
    <w:p w:rsidR="00E70F3D" w:rsidRDefault="00E70F3D">
      <w:pPr>
        <w:jc w:val="center"/>
        <w:rPr>
          <w:rFonts w:ascii="Arial" w:hAnsi="Arial" w:cs="Arial"/>
          <w:b/>
          <w:bCs/>
        </w:rPr>
      </w:pPr>
    </w:p>
    <w:p w:rsidR="00E70F3D" w:rsidRDefault="00E70F3D">
      <w:pPr>
        <w:jc w:val="center"/>
        <w:rPr>
          <w:rFonts w:ascii="Arial" w:hAnsi="Arial" w:cs="Arial"/>
          <w:b/>
          <w:bCs/>
        </w:rPr>
      </w:pPr>
    </w:p>
    <w:p w:rsidR="00E70F3D" w:rsidRDefault="00D50F6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PATTO DI INTEGRITA’</w:t>
      </w:r>
    </w:p>
    <w:p w:rsidR="00E70F3D" w:rsidRDefault="00E70F3D">
      <w:pPr>
        <w:jc w:val="center"/>
        <w:rPr>
          <w:rFonts w:ascii="Arial" w:hAnsi="Arial" w:cs="Arial"/>
          <w:b/>
        </w:rPr>
      </w:pPr>
    </w:p>
    <w:p w:rsidR="00E70F3D" w:rsidRDefault="00D50F6B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PROCEDURA APERTA PER L’AFFIDAMENTO DEL SERVIZIO DI RECUPERO, CUSTODIA E ACQUISTO DEI VEICOLI OGGETTO DEI PROVVEDIMENTI DI SEQUESTRO AMMINISTRATIVO, FERMO O CONFISCA AI SENSI DELL’ARTICOLO 214 BIS DEL D. LGS. N. 285/92 AMBITO TERRITORIALE PROVINCIALE DI </w:t>
      </w:r>
      <w:r w:rsidR="00AD36B5">
        <w:rPr>
          <w:rFonts w:ascii="Arial" w:hAnsi="Arial" w:cs="Arial"/>
          <w:b/>
          <w:sz w:val="22"/>
        </w:rPr>
        <w:t>PARMA</w:t>
      </w:r>
    </w:p>
    <w:p w:rsidR="00E70F3D" w:rsidRDefault="00E70F3D">
      <w:pPr>
        <w:rPr>
          <w:rFonts w:ascii="Arial" w:hAnsi="Arial" w:cs="Arial"/>
          <w:sz w:val="22"/>
        </w:rPr>
      </w:pPr>
    </w:p>
    <w:p w:rsidR="007F0D50" w:rsidRPr="003A443E" w:rsidRDefault="007F0D50" w:rsidP="007F0D50">
      <w:pPr>
        <w:ind w:left="2832" w:firstLine="708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b/>
          <w:sz w:val="22"/>
        </w:rPr>
        <w:t xml:space="preserve">      </w:t>
      </w:r>
      <w:r w:rsidR="00D50F6B" w:rsidRPr="00D50F6B">
        <w:rPr>
          <w:rFonts w:ascii="Arial" w:hAnsi="Arial" w:cs="Arial"/>
          <w:b/>
          <w:sz w:val="22"/>
        </w:rPr>
        <w:t>CIG</w:t>
      </w:r>
      <w:r w:rsidR="00433E3A" w:rsidRPr="007F0D50">
        <w:rPr>
          <w:rFonts w:ascii="Arial" w:hAnsi="Arial" w:cs="Arial"/>
          <w:b/>
          <w:sz w:val="22"/>
          <w:szCs w:val="22"/>
        </w:rPr>
        <w:t xml:space="preserve"> </w:t>
      </w:r>
      <w:r w:rsidR="00AD36B5">
        <w:rPr>
          <w:rFonts w:ascii="Arial" w:hAnsi="Arial" w:cs="Arial"/>
          <w:b/>
          <w:color w:val="000000"/>
          <w:sz w:val="22"/>
          <w:szCs w:val="22"/>
        </w:rPr>
        <w:t>9878170BC0</w:t>
      </w:r>
    </w:p>
    <w:p w:rsidR="007F0D50" w:rsidRDefault="007F0D50">
      <w:pPr>
        <w:jc w:val="center"/>
        <w:rPr>
          <w:rFonts w:ascii="Arial" w:hAnsi="Arial" w:cs="Arial"/>
          <w:b/>
          <w:sz w:val="22"/>
        </w:rPr>
      </w:pPr>
    </w:p>
    <w:p w:rsidR="007F0D50" w:rsidRDefault="007F0D50">
      <w:pPr>
        <w:jc w:val="center"/>
        <w:rPr>
          <w:rFonts w:ascii="Arial" w:hAnsi="Arial" w:cs="Arial"/>
          <w:b/>
          <w:sz w:val="22"/>
        </w:rPr>
      </w:pPr>
    </w:p>
    <w:p w:rsidR="00E70F3D" w:rsidRDefault="00D50F6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tra</w:t>
      </w:r>
    </w:p>
    <w:p w:rsidR="00E70F3D" w:rsidRDefault="00D50F6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l’Agenzia del Demanio </w:t>
      </w:r>
    </w:p>
    <w:p w:rsidR="00E70F3D" w:rsidRDefault="00D50F6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e</w:t>
      </w:r>
    </w:p>
    <w:p w:rsidR="00E70F3D" w:rsidRDefault="00E70F3D">
      <w:pPr>
        <w:jc w:val="center"/>
        <w:rPr>
          <w:rFonts w:ascii="Arial" w:hAnsi="Arial" w:cs="Arial"/>
        </w:rPr>
      </w:pPr>
    </w:p>
    <w:p w:rsidR="00E70F3D" w:rsidRDefault="00D50F6B">
      <w:pPr>
        <w:spacing w:after="120" w:line="276" w:lineRule="auto"/>
      </w:pPr>
      <w:r>
        <w:rPr>
          <w:rFonts w:ascii="Arial" w:hAnsi="Arial" w:cs="Arial"/>
        </w:rPr>
        <w:t xml:space="preserve">Il/La sottoscritto/a </w:t>
      </w:r>
      <w:bookmarkStart w:id="0" w:name="Testo1"/>
      <w:r>
        <w:rPr>
          <w:rFonts w:ascii="Arial" w:hAnsi="Arial" w:cs="Arial"/>
        </w:rPr>
        <w:t xml:space="preserve">   </w:t>
      </w:r>
      <w:bookmarkEnd w:id="0"/>
      <w:r>
        <w:rPr>
          <w:rFonts w:ascii="Arial" w:hAnsi="Arial" w:cs="Arial"/>
        </w:rPr>
        <w:t xml:space="preserve"> nato/a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 xml:space="preserve"> il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 xml:space="preserve"> CF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 xml:space="preserve"> residente a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 xml:space="preserve">), via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 xml:space="preserve"> n.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 xml:space="preserve"> in qualità di:</w:t>
      </w:r>
    </w:p>
    <w:p w:rsidR="00E70F3D" w:rsidRDefault="00D50F6B">
      <w:pPr>
        <w:spacing w:after="120" w:line="276" w:lineRule="auto"/>
        <w:ind w:left="709"/>
      </w:pPr>
      <w:bookmarkStart w:id="1" w:name="Controllo1"/>
      <w:bookmarkEnd w:id="1"/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(se del caso)</w:t>
      </w:r>
      <w:r>
        <w:rPr>
          <w:rFonts w:ascii="Arial" w:hAnsi="Arial" w:cs="Arial"/>
        </w:rPr>
        <w:t xml:space="preserve"> legale rappresentante</w:t>
      </w:r>
      <w:r>
        <w:rPr>
          <w:rFonts w:ascii="Arial" w:hAnsi="Arial" w:cs="Arial"/>
          <w:i/>
        </w:rPr>
        <w:t xml:space="preserve"> </w:t>
      </w:r>
    </w:p>
    <w:p w:rsidR="00E70F3D" w:rsidRDefault="00D50F6B">
      <w:pPr>
        <w:spacing w:after="120" w:line="276" w:lineRule="auto"/>
        <w:ind w:left="709"/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 xml:space="preserve">(se del caso) </w:t>
      </w:r>
      <w:r>
        <w:rPr>
          <w:rFonts w:ascii="Arial" w:hAnsi="Arial" w:cs="Arial"/>
        </w:rPr>
        <w:t xml:space="preserve">procuratore generale/speciale, giusta procura allegata </w:t>
      </w:r>
    </w:p>
    <w:p w:rsidR="00E70F3D" w:rsidRDefault="00D50F6B">
      <w:pPr>
        <w:spacing w:after="120" w:line="276" w:lineRule="auto"/>
      </w:pPr>
      <w:r>
        <w:rPr>
          <w:rFonts w:ascii="Arial" w:hAnsi="Arial" w:cs="Arial"/>
        </w:rPr>
        <w:t xml:space="preserve">dell’operatore economico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  <w:i/>
        </w:rPr>
        <w:t xml:space="preserve"> (indicare la denominazione sociale)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  <w:i/>
        </w:rPr>
        <w:t xml:space="preserve"> (indicare la forma giuridica)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 xml:space="preserve"> (</w:t>
      </w:r>
      <w:r>
        <w:rPr>
          <w:rFonts w:ascii="Arial" w:hAnsi="Arial" w:cs="Arial"/>
          <w:i/>
        </w:rPr>
        <w:t>indicare la sede legale</w:t>
      </w:r>
      <w:r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 xml:space="preserve"> (</w:t>
      </w:r>
      <w:r>
        <w:rPr>
          <w:rFonts w:ascii="Arial" w:hAnsi="Arial" w:cs="Arial"/>
          <w:i/>
        </w:rPr>
        <w:t>indicare CF e PI</w:t>
      </w:r>
      <w:r>
        <w:rPr>
          <w:rFonts w:ascii="Arial" w:hAnsi="Arial" w:cs="Arial"/>
        </w:rPr>
        <w:t xml:space="preserve">) 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 xml:space="preserve">indicare indirizzo </w:t>
      </w:r>
      <w:proofErr w:type="spellStart"/>
      <w:r>
        <w:rPr>
          <w:rFonts w:ascii="Arial" w:hAnsi="Arial" w:cs="Arial"/>
          <w:i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)  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t> </w:t>
      </w:r>
    </w:p>
    <w:p w:rsidR="00E70F3D" w:rsidRDefault="00D50F6B">
      <w:pPr>
        <w:spacing w:before="100" w:after="10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VISTO</w:t>
      </w:r>
    </w:p>
    <w:p w:rsidR="00E70F3D" w:rsidRDefault="00D50F6B">
      <w:pPr>
        <w:spacing w:before="100" w:after="100"/>
      </w:pPr>
      <w:r>
        <w:rPr>
          <w:rFonts w:ascii="Arial" w:hAnsi="Arial" w:cs="Arial"/>
        </w:rPr>
        <w:t xml:space="preserve">- l’art. 1 co. 17 della L. 190/2012 </w:t>
      </w:r>
      <w:r>
        <w:rPr>
          <w:rFonts w:ascii="Arial" w:hAnsi="Arial" w:cs="Arial"/>
          <w:i/>
        </w:rPr>
        <w:t>“Disposizioni per la prevenzione e la repressione della corruzione e dell’illegalità nella pubblica amministrazione</w:t>
      </w:r>
      <w:r>
        <w:rPr>
          <w:rFonts w:ascii="Arial" w:hAnsi="Arial" w:cs="Arial"/>
        </w:rPr>
        <w:t xml:space="preserve">” il quale dispone che </w:t>
      </w:r>
      <w:r>
        <w:rPr>
          <w:rFonts w:ascii="Arial" w:hAnsi="Arial" w:cs="Arial"/>
          <w:i/>
        </w:rPr>
        <w:t>“le stazioni appaltanti possono prevedere negli avvisi, bandi di gara o lettere di invito che il mancato rispetto delle clausole contenute nei protocolli di legalità o nei patti di integrità costituisce causa di esclusione dalla gara”</w:t>
      </w:r>
      <w:r>
        <w:rPr>
          <w:rFonts w:ascii="Arial" w:hAnsi="Arial" w:cs="Arial"/>
        </w:rPr>
        <w:t>;</w:t>
      </w:r>
    </w:p>
    <w:p w:rsidR="00E70F3D" w:rsidRDefault="00D50F6B">
      <w:pPr>
        <w:spacing w:before="100" w:after="100"/>
        <w:rPr>
          <w:rFonts w:ascii="Arial" w:hAnsi="Arial" w:cs="Arial"/>
        </w:rPr>
      </w:pPr>
      <w:r>
        <w:rPr>
          <w:rFonts w:ascii="Arial" w:hAnsi="Arial" w:cs="Arial"/>
        </w:rPr>
        <w:t xml:space="preserve">- il Piano Triennale di Prevenzione della Corruzione (PTPC) dell’Agenzia del Demanio; </w:t>
      </w:r>
    </w:p>
    <w:p w:rsidR="00E70F3D" w:rsidRDefault="00E70F3D">
      <w:pPr>
        <w:spacing w:before="100" w:after="100"/>
        <w:jc w:val="center"/>
        <w:rPr>
          <w:rFonts w:ascii="Arial" w:hAnsi="Arial" w:cs="Arial"/>
          <w:b/>
        </w:rPr>
      </w:pPr>
    </w:p>
    <w:p w:rsidR="00E70F3D" w:rsidRDefault="00D50F6B">
      <w:pPr>
        <w:spacing w:before="100" w:after="10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 CONVIENE E SI STIPULA QUANTO SEGUE</w:t>
      </w:r>
    </w:p>
    <w:p w:rsidR="00E70F3D" w:rsidRDefault="00E70F3D">
      <w:pPr>
        <w:spacing w:after="120"/>
        <w:rPr>
          <w:rFonts w:ascii="Arial" w:hAnsi="Arial" w:cs="Arial"/>
          <w:b/>
        </w:rPr>
      </w:pPr>
    </w:p>
    <w:p w:rsidR="00E70F3D" w:rsidRDefault="00D50F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Art. 1 - Finalità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Il presente Patto d’integrità stabilisce la reciproca e formale obbligazione tra l’Agenzia del Demanio e l’operatore economico di improntare i propri comportamenti ai principi di lealtà, trasparenza e correttezza. </w:t>
      </w:r>
    </w:p>
    <w:p w:rsidR="00E70F3D" w:rsidRDefault="00D50F6B">
      <w:pPr>
        <w:tabs>
          <w:tab w:val="left" w:pos="360"/>
        </w:tabs>
        <w:spacing w:after="120"/>
      </w:pPr>
      <w:r>
        <w:rPr>
          <w:rFonts w:ascii="Arial" w:hAnsi="Arial" w:cs="Arial"/>
          <w:b/>
        </w:rPr>
        <w:t xml:space="preserve">Art. 2 - Durata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Il presente Patto e le relative sanzioni, di seguito indicate all’art. 5, sono applicabili fino alla completa esecuzione del contratto, al quale verrà formalmente allegato il presente documento, per costituirne parte integrante e sostanziale. 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Art. 3 - Obblighi a carico dell’operatore economico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Ai fini della formalizzazione dell’affidamento, l’operatore economico: 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- dichiara di non essere intervenuto nel procedimento amministrativo diretto a stabilire il contenuto delle prestazioni contrattuali al fine di condizionare le modalità di scelta del contraente da parte dell’Agenzia;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- dichiara di non aver corrisposto né promesso di corrispondere ad alcuno, direttamente o tramite terzi, ivi compresi soggetti collegati o controllati, somme di denaro o qualsiasi altra ricompensa, vantaggio o beneficio, per facilitare l’affidamento e/o gestione del contratto e si impegna altresì a non corrispondere né promettere di corrispondere altra ricompensa, vantaggio o beneficio per le suddette finalità;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- si obbliga a non ricorrere ad alcuna mediazione o altra opera di terzi finalizzata all’affidamento e/o gestione del contratto;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- si impegna a segnalare alla Stazione appaltante qualsiasi tentativo di turbativa, irregolarità o distorsione durante l’esecuzione del contratto, da parte di ogni interessato o addetto o di chiunque possa influenzare le decisioni relative al presente affidamento;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- dichiara, ai fini dell’applicazione dell’art. 53 </w:t>
      </w:r>
      <w:r w:rsidR="00631358">
        <w:rPr>
          <w:rFonts w:ascii="Arial" w:hAnsi="Arial" w:cs="Arial"/>
        </w:rPr>
        <w:t>co. 16 ter del D.l</w:t>
      </w:r>
      <w:r>
        <w:rPr>
          <w:rFonts w:ascii="Arial" w:hAnsi="Arial" w:cs="Arial"/>
        </w:rPr>
        <w:t>gs. 165/2001, di non aver concluso contratti di lavoro subordinato o autonomo e, comunque, di non aver attribuito incarichi ad ex dipendenti dell’Agenzia che hanno esercitato poteri autoritativi o negoziali per conto della stessa nei loro confronti, per il triennio successivo alla cessazione del rapporto;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- dichiara di essere consapevole che, qualora emerga la situazione di cui al punto precedente, essa determinerà la nullità del contratto e il divieto di contrarre con l’Amministrazione per i successivi tre anni con obbligo di restituzione dei compensi eventualmente percepiti ed accertati in esecuzione dell’affidamento illegittimo;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- dichiara, ai fini dell’applicazione dell’art. 1 co. 9 </w:t>
      </w:r>
      <w:proofErr w:type="spellStart"/>
      <w:r>
        <w:rPr>
          <w:rFonts w:ascii="Arial" w:hAnsi="Arial" w:cs="Arial"/>
        </w:rPr>
        <w:t>lett</w:t>
      </w:r>
      <w:proofErr w:type="spellEnd"/>
      <w:r>
        <w:rPr>
          <w:rFonts w:ascii="Arial" w:hAnsi="Arial" w:cs="Arial"/>
        </w:rPr>
        <w:t>. e) L. 190/2012, per sé e per i soci facenti parte della compagine sociale che:</w:t>
      </w:r>
    </w:p>
    <w:p w:rsidR="00E70F3D" w:rsidRDefault="00D50F6B">
      <w:pPr>
        <w:tabs>
          <w:tab w:val="left" w:pos="360"/>
        </w:tabs>
        <w:spacing w:after="120"/>
      </w:pPr>
      <w:r>
        <w:rPr>
          <w:rFonts w:ascii="Arial" w:hAnsi="Arial"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1209037</wp:posOffset>
                </wp:positionH>
                <wp:positionV relativeFrom="paragraph">
                  <wp:posOffset>108585</wp:posOffset>
                </wp:positionV>
                <wp:extent cx="4143375" cy="283848"/>
                <wp:effectExtent l="0" t="0" r="28575" b="20952"/>
                <wp:wrapSquare wrapText="bothSides"/>
                <wp:docPr id="1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3375" cy="2838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E70F3D" w:rsidRDefault="00D50F6B">
                            <w:pPr>
                              <w:jc w:val="center"/>
                              <w:rPr>
                                <w:b/>
                                <w:color w:val="FF0000"/>
                                <w:sz w:val="1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16"/>
                                <w:u w:val="single"/>
                              </w:rPr>
                              <w:t>BARRARE UNA SOLA OPZIONE DELLE DUE CHE SEGUONO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95.2pt;margin-top:8.55pt;width:326.25pt;height:22.3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" strokeweight=".26467mm">
                <v:textbox>
                  <w:txbxContent>
                    <w:p w:rsidR="00E70F3D" w:rsidRDefault="00D50F6B">
                      <w:pPr>
                        <w:jc w:val="center"/>
                        <w:rPr>
                          <w:b/>
                          <w:color w:val="FF0000"/>
                          <w:sz w:val="16"/>
                          <w:u w:val="single"/>
                        </w:rPr>
                      </w:pPr>
                      <w:r>
                        <w:rPr>
                          <w:b/>
                          <w:color w:val="FF0000"/>
                          <w:sz w:val="16"/>
                          <w:u w:val="single"/>
                        </w:rPr>
                        <w:t>BARRARE UNA SOLA OPZIONE DELLE DUE CHE SEGUONO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70F3D" w:rsidRDefault="00E70F3D">
      <w:pPr>
        <w:tabs>
          <w:tab w:val="left" w:pos="360"/>
        </w:tabs>
        <w:spacing w:after="120"/>
        <w:rPr>
          <w:rFonts w:ascii="Arial" w:hAnsi="Arial" w:cs="Arial"/>
        </w:rPr>
      </w:pPr>
    </w:p>
    <w:p w:rsidR="00E70F3D" w:rsidRDefault="00D50F6B">
      <w:pPr>
        <w:tabs>
          <w:tab w:val="left" w:pos="360"/>
        </w:tabs>
        <w:spacing w:after="120"/>
        <w:ind w:left="360"/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-90699</wp:posOffset>
                </wp:positionH>
                <wp:positionV relativeFrom="paragraph">
                  <wp:posOffset>156371</wp:posOffset>
                </wp:positionV>
                <wp:extent cx="218440" cy="172081"/>
                <wp:effectExtent l="19050" t="38100" r="48260" b="18419"/>
                <wp:wrapNone/>
                <wp:docPr id="2" name="Connettore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8440" cy="172081"/>
                        </a:xfrm>
                        <a:prstGeom prst="straightConnector1">
                          <a:avLst/>
                        </a:prstGeom>
                        <a:noFill/>
                        <a:ln w="28575" cap="flat">
                          <a:solidFill>
                            <a:srgbClr val="BE4B48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45BC4A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1" o:spid="_x0000_s1026" type="#_x0000_t32" style="position:absolute;margin-left:-7.15pt;margin-top:12.3pt;width:17.2pt;height:13.5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" strokecolor="#be4b48" strokeweight="2.25pt">
                <v:stroke endarrow="open" joinstyle="miter"/>
              </v:shape>
            </w:pict>
          </mc:Fallback>
        </mc:AlternateConten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non sussistono relazioni di parentela o affinità con i dipendenti dell’Agenzia del Demanio</w:t>
      </w:r>
      <w:r>
        <w:rPr>
          <w:rFonts w:ascii="Arial" w:hAnsi="Arial" w:cs="Arial"/>
        </w:rPr>
        <w:t>;</w:t>
      </w:r>
    </w:p>
    <w:p w:rsidR="00E70F3D" w:rsidRDefault="00D50F6B">
      <w:pPr>
        <w:tabs>
          <w:tab w:val="left" w:pos="360"/>
        </w:tabs>
        <w:spacing w:after="120"/>
        <w:jc w:val="center"/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-72886</wp:posOffset>
                </wp:positionH>
                <wp:positionV relativeFrom="paragraph">
                  <wp:posOffset>44348</wp:posOffset>
                </wp:positionV>
                <wp:extent cx="232412" cy="283848"/>
                <wp:effectExtent l="19050" t="19050" r="72388" b="40002"/>
                <wp:wrapNone/>
                <wp:docPr id="3" name="Connettore 2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412" cy="283848"/>
                        </a:xfrm>
                        <a:prstGeom prst="straightConnector1">
                          <a:avLst/>
                        </a:prstGeom>
                        <a:noFill/>
                        <a:ln w="28575" cap="flat">
                          <a:solidFill>
                            <a:srgbClr val="BE4B48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46C4B1B" id="Connettore 2 2" o:spid="_x0000_s1026" type="#_x0000_t32" style="position:absolute;margin-left:-5.75pt;margin-top:3.5pt;width:18.3pt;height:22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" strokecolor="#be4b48" strokeweight="2.25pt">
                <v:stroke endarrow="open" joinstyle="miter"/>
              </v:shape>
            </w:pict>
          </mc:Fallback>
        </mc:AlternateContent>
      </w:r>
      <w:r>
        <w:rPr>
          <w:rFonts w:ascii="Arial" w:hAnsi="Arial" w:cs="Arial"/>
          <w:b/>
          <w:u w:val="single"/>
        </w:rPr>
        <w:t>ovvero</w:t>
      </w:r>
    </w:p>
    <w:p w:rsidR="00E70F3D" w:rsidRDefault="00D50F6B">
      <w:pPr>
        <w:tabs>
          <w:tab w:val="left" w:pos="360"/>
        </w:tabs>
        <w:spacing w:after="120"/>
        <w:ind w:left="360"/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sussistono relazioni di parentela o affinità con i dipendenti dell’Agenzia del Demanio, che, tuttavia, non hanno determinato alcun vantaggio per facilitare l’affidamento del servizio e si impegna, altresì, ad evitare che tali rapporti determinino eventuali benefici nella fase di esecutiva del contratto</w:t>
      </w:r>
      <w:r>
        <w:rPr>
          <w:rFonts w:ascii="Arial" w:hAnsi="Arial" w:cs="Arial"/>
        </w:rPr>
        <w:t xml:space="preserve">;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- si obbliga ad informare puntualmente tutto il personale di cui si avvale del presente Patto di integrità e degli obblighi in esso contenuti e a vigilare </w:t>
      </w:r>
      <w:r w:rsidR="00631358">
        <w:rPr>
          <w:rFonts w:ascii="Arial" w:hAnsi="Arial" w:cs="Arial"/>
        </w:rPr>
        <w:t>affinché</w:t>
      </w:r>
      <w:r>
        <w:rPr>
          <w:rFonts w:ascii="Arial" w:hAnsi="Arial" w:cs="Arial"/>
        </w:rPr>
        <w:t xml:space="preserve"> gli impegni sopra indicati siano osservati da tutti i collaboratori e dipendenti nell’esercizio dei compiti loro assegnati;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- si impegna ad osservare il Modello di organizzazione, gestione</w:t>
      </w:r>
      <w:r w:rsidR="00631358">
        <w:rPr>
          <w:rFonts w:ascii="Arial" w:hAnsi="Arial" w:cs="Arial"/>
        </w:rPr>
        <w:t xml:space="preserve"> e controllo dell’Agenzia ex D.l</w:t>
      </w:r>
      <w:r>
        <w:rPr>
          <w:rFonts w:ascii="Arial" w:hAnsi="Arial" w:cs="Arial"/>
        </w:rPr>
        <w:t xml:space="preserve">gs. 231/2001, reperibile sul sito istituzionale, ed a tenere un comportamento in linea con il relativo Codice Etico e, comunque, tale da non esporre l’Agenzia al rischio dell’applicazione delle sanzioni previste dal predetto decreto;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si obbliga ad inserire identiche clausole di integrità ed anti-corruzione negli eventuali contratti di subappalto;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- si impegna a denunciare alle Autorità competenti ogni irregolarità o distorsione di cui sia venuta a conoscenza per quanto attiene l’attività di cui all’oggetto. 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Art. 4 - Obblighi a carico dell’Agenzia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L’Agenzia si impegna ad attivare procedimenti disciplinari nei confronti del personale coinvolto, a vario titolo, nel procedimento di scelta del contraente e nella fase esecutiva del contratto, in caso di accertata violazione dei principi di lealtà e correttezza dell’agire assunti con il presente Patto.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L’Agenzia assume l’espresso impegno anticorruzione di non offrire, accettare o richiedere somme di denaro o qualsiasi altra ricompensa, vantaggio o beneficio, per facilitare, sia direttamente che indirettamente, l’affidamento e/o gestione del contratto.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L’Agenzia si obbliga a garantire adeguata pubblicità degli atti inerenti il presente affidamento secondo le modalità previste dalla legge.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Art. 5 - Violazione del Patto di Integrità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La violazione degli impegni anticorruzione assunti con la sottoscrizione del presente Patto di integrità da parte dell’operatore economico potrà comportare, in ragione della fase in cui è accertato l’inadempimento: la risoluzione del contratto con conseguente contestuale segnalazione del fatto </w:t>
      </w:r>
      <w:proofErr w:type="spellStart"/>
      <w:r>
        <w:rPr>
          <w:rFonts w:ascii="Arial" w:hAnsi="Arial" w:cs="Arial"/>
        </w:rPr>
        <w:t>all’A</w:t>
      </w:r>
      <w:bookmarkStart w:id="2" w:name="_GoBack"/>
      <w:bookmarkEnd w:id="2"/>
      <w:r>
        <w:rPr>
          <w:rFonts w:ascii="Arial" w:hAnsi="Arial" w:cs="Arial"/>
        </w:rPr>
        <w:t>nac</w:t>
      </w:r>
      <w:proofErr w:type="spellEnd"/>
      <w:r>
        <w:rPr>
          <w:rFonts w:ascii="Arial" w:hAnsi="Arial" w:cs="Arial"/>
        </w:rPr>
        <w:t xml:space="preserve">.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La violazione delle obbligazioni assunte viene dichiarata dall’Agenzia a conclusione di un apposito procedimento di verifica, con le garanzie del contraddittorio per l’operatore economico interessato. L’Agenzia comunica l’avvio del procedimento d’ufficio all’operatore economico tramite comunicazione, a mezzo PEC, contenente sintetica motivazione. Eventuali controdeduzioni dovranno pervenire entro 15 giorni. L’Agenzia, decorsi 15 giorni dal ricevimento delle stesse, si pronuncerà definitivamente in merito alla violazione.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Art. 6 - Controversie </w:t>
      </w:r>
    </w:p>
    <w:p w:rsidR="00E70F3D" w:rsidRDefault="00D50F6B">
      <w:pPr>
        <w:tabs>
          <w:tab w:val="left" w:pos="360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Ogni controversia relativa all’interpretazione ed all’esecuzione del presente Patto di Integrità tra l’Agenzia ed i concorrenti ovvero tra gli stessi concorrenti sarà risolta dall’Autorità Giudiziaria competente in relazione al tipo di violazione. </w:t>
      </w:r>
    </w:p>
    <w:p w:rsidR="00E70F3D" w:rsidRDefault="00D50F6B">
      <w:pPr>
        <w:tabs>
          <w:tab w:val="left" w:pos="360"/>
        </w:tabs>
        <w:spacing w:before="100" w:after="100"/>
      </w:pPr>
      <w:r>
        <w:rPr>
          <w:rFonts w:ascii="Arial" w:hAnsi="Arial" w:cs="Arial"/>
          <w:sz w:val="22"/>
          <w:szCs w:val="22"/>
        </w:rPr>
        <w:t>Letto, confermato e sottoscritto digitalmente da</w:t>
      </w:r>
      <w:r>
        <w:rPr>
          <w:rStyle w:val="Rimandonotaapidipagina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:  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</w:p>
    <w:p w:rsidR="00E70F3D" w:rsidRDefault="00E70F3D">
      <w:pPr>
        <w:tabs>
          <w:tab w:val="left" w:pos="360"/>
        </w:tabs>
        <w:ind w:left="2126"/>
        <w:jc w:val="center"/>
        <w:rPr>
          <w:rFonts w:ascii="Arial" w:hAnsi="Arial" w:cs="Arial"/>
        </w:rPr>
      </w:pPr>
    </w:p>
    <w:sectPr w:rsidR="00E70F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95" w:right="1134" w:bottom="1361" w:left="1134" w:header="389" w:footer="28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CD6" w:rsidRDefault="00993CD6">
      <w:r>
        <w:separator/>
      </w:r>
    </w:p>
  </w:endnote>
  <w:endnote w:type="continuationSeparator" w:id="0">
    <w:p w:rsidR="00993CD6" w:rsidRDefault="0099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3A" w:rsidRDefault="00D50F6B">
    <w:pPr>
      <w:pStyle w:val="Pidipagina"/>
      <w:jc w:val="right"/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 w:rsidR="00631358">
      <w:rPr>
        <w:rFonts w:ascii="Arial" w:hAnsi="Arial" w:cs="Arial"/>
        <w:noProof/>
        <w:sz w:val="20"/>
        <w:szCs w:val="20"/>
      </w:rPr>
      <w:t>3</w:t>
    </w:r>
    <w:r>
      <w:rPr>
        <w:rFonts w:ascii="Arial" w:hAnsi="Arial" w:cs="Arial"/>
        <w:sz w:val="20"/>
        <w:szCs w:val="20"/>
      </w:rPr>
      <w:fldChar w:fldCharType="end"/>
    </w:r>
  </w:p>
  <w:p w:rsidR="009C753A" w:rsidRDefault="00993CD6">
    <w:pPr>
      <w:pStyle w:val="Pidipagina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3A" w:rsidRDefault="00D50F6B">
    <w:pPr>
      <w:pStyle w:val="Pidipagina"/>
      <w:jc w:val="right"/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 w:rsidR="00631358"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</w:p>
  <w:p w:rsidR="009C753A" w:rsidRDefault="00993CD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CD6" w:rsidRDefault="00993CD6">
      <w:r>
        <w:rPr>
          <w:color w:val="000000"/>
        </w:rPr>
        <w:separator/>
      </w:r>
    </w:p>
  </w:footnote>
  <w:footnote w:type="continuationSeparator" w:id="0">
    <w:p w:rsidR="00993CD6" w:rsidRDefault="00993CD6">
      <w:r>
        <w:continuationSeparator/>
      </w:r>
    </w:p>
  </w:footnote>
  <w:footnote w:id="1">
    <w:p w:rsidR="00E70F3D" w:rsidRDefault="00D50F6B">
      <w:r>
        <w:rPr>
          <w:rStyle w:val="Rimandonotaapidipagina"/>
        </w:rPr>
        <w:footnoteRef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Nota: </w:t>
      </w:r>
    </w:p>
    <w:p w:rsidR="00E70F3D" w:rsidRDefault="00D50F6B">
      <w:pPr>
        <w:numPr>
          <w:ilvl w:val="0"/>
          <w:numId w:val="1"/>
        </w:numPr>
        <w:ind w:left="284" w:hanging="284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nel caso di società, dal legale rappresentante/procuratore;</w:t>
      </w:r>
    </w:p>
    <w:p w:rsidR="00E70F3D" w:rsidRDefault="00D50F6B">
      <w:pPr>
        <w:numPr>
          <w:ilvl w:val="0"/>
          <w:numId w:val="1"/>
        </w:numPr>
        <w:ind w:left="284" w:hanging="284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nel caso di raggruppamento temporaneo costituito, dal legale rappresentante della mandataria/capofila;</w:t>
      </w:r>
    </w:p>
    <w:p w:rsidR="00E70F3D" w:rsidRDefault="00D50F6B">
      <w:pPr>
        <w:numPr>
          <w:ilvl w:val="0"/>
          <w:numId w:val="1"/>
        </w:numPr>
        <w:ind w:left="284" w:hanging="284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nel caso di raggruppamento temporaneo non ancora costituiti, dal legale rappresentante di ciascuno dei soggetti che costituiranno il raggruppamento;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3A" w:rsidRDefault="00993CD6">
    <w:pPr>
      <w:pStyle w:val="Intestazione"/>
      <w:pBdr>
        <w:bottom w:val="single" w:sz="4" w:space="16" w:color="BFBFBF"/>
      </w:pBdr>
      <w:jc w:val="right"/>
      <w:rPr>
        <w:rFonts w:ascii="Arial" w:hAnsi="Arial" w:cs="Arial"/>
        <w:color w:val="808080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3A" w:rsidRDefault="00D50F6B">
    <w:pPr>
      <w:pStyle w:val="Intestazione"/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sz w:val="20"/>
        <w:szCs w:val="20"/>
      </w:rPr>
      <w:t>Allegato 4 Patto di integrità</w:t>
    </w:r>
  </w:p>
  <w:p w:rsidR="009C753A" w:rsidRDefault="00D50F6B">
    <w:pPr>
      <w:pStyle w:val="Intestazion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:rsidR="009C753A" w:rsidRDefault="00993CD6">
    <w:pPr>
      <w:pStyle w:val="Intestazione"/>
      <w:rPr>
        <w:rFonts w:ascii="Arial" w:hAnsi="Arial" w:cs="Arial"/>
        <w:color w:val="8080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E74335"/>
    <w:multiLevelType w:val="multilevel"/>
    <w:tmpl w:val="2BC4684C"/>
    <w:lvl w:ilvl="0">
      <w:numFmt w:val="bullet"/>
      <w:lvlText w:val="-"/>
      <w:lvlJc w:val="left"/>
      <w:pPr>
        <w:ind w:left="720" w:hanging="360"/>
      </w:pPr>
      <w:rPr>
        <w:rFonts w:ascii="Garamond" w:hAnsi="Garamond"/>
        <w:b/>
        <w:i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70F3D"/>
    <w:rsid w:val="00086E8A"/>
    <w:rsid w:val="00346952"/>
    <w:rsid w:val="00433E3A"/>
    <w:rsid w:val="00443B30"/>
    <w:rsid w:val="00631358"/>
    <w:rsid w:val="007F0D50"/>
    <w:rsid w:val="00903FF7"/>
    <w:rsid w:val="00993CD6"/>
    <w:rsid w:val="00AD36B5"/>
    <w:rsid w:val="00BE6C8C"/>
    <w:rsid w:val="00D50F6B"/>
    <w:rsid w:val="00E7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color w:val="000000"/>
    </w:rPr>
  </w:style>
  <w:style w:type="paragraph" w:styleId="Titolo2">
    <w:name w:val="heading 2"/>
    <w:basedOn w:val="Normale"/>
    <w:next w:val="Normale"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ascii="Book Antiqua" w:hAnsi="Book Antiqua"/>
      <w:sz w:val="24"/>
      <w:szCs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Book Antiqua" w:hAnsi="Book Antiqua"/>
      <w:sz w:val="24"/>
    </w:rPr>
  </w:style>
  <w:style w:type="paragraph" w:styleId="Rientrocorpodeltesto">
    <w:name w:val="Body Text Indent"/>
    <w:basedOn w:val="Normale"/>
    <w:pPr>
      <w:spacing w:after="120"/>
      <w:ind w:firstLine="567"/>
    </w:pPr>
    <w:rPr>
      <w:rFonts w:ascii="Times New Roman" w:hAnsi="Times New Roman"/>
    </w:rPr>
  </w:style>
  <w:style w:type="character" w:customStyle="1" w:styleId="RientrocorpodeltestoCarattere">
    <w:name w:val="Rientro corpo del testo Carattere"/>
    <w:basedOn w:val="Carpredefinitoparagrafo"/>
    <w:rPr>
      <w:rFonts w:ascii="Book Antiqua" w:hAnsi="Book Antiqua"/>
      <w:sz w:val="24"/>
      <w:szCs w:val="24"/>
    </w:rPr>
  </w:style>
  <w:style w:type="character" w:styleId="Numeropagina">
    <w:name w:val="page number"/>
    <w:basedOn w:val="Carpredefinitoparagrafo"/>
    <w:rPr>
      <w:rFonts w:cs="Times New Roman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customStyle="1" w:styleId="Corpodeltesto">
    <w:name w:val="Corpo del testo"/>
    <w:basedOn w:val="Normale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rPr>
      <w:rFonts w:ascii="Book Antiqua" w:hAnsi="Book Antiqua"/>
      <w:sz w:val="24"/>
    </w:rPr>
  </w:style>
  <w:style w:type="paragraph" w:styleId="Paragrafoelenco">
    <w:name w:val="List Paragraph"/>
    <w:basedOn w:val="Normale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263">
    <w:name w:val="style263"/>
    <w:basedOn w:val="Normale"/>
    <w:pPr>
      <w:spacing w:before="100" w:after="100"/>
      <w:jc w:val="left"/>
    </w:pPr>
    <w:rPr>
      <w:rFonts w:ascii="Times New Roman" w:hAnsi="Times New Roman"/>
      <w:color w:val="0066FF"/>
    </w:rPr>
  </w:style>
  <w:style w:type="paragraph" w:styleId="Testonotaapidipagina">
    <w:name w:val="footnote text"/>
    <w:basedOn w:val="Normal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rPr>
      <w:rFonts w:ascii="Book Antiqua" w:hAnsi="Book Antiqua"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character" w:styleId="Rimandocommento">
    <w:name w:val="annotation reference"/>
    <w:basedOn w:val="Carpredefinitoparagrafo"/>
    <w:rPr>
      <w:sz w:val="16"/>
    </w:rPr>
  </w:style>
  <w:style w:type="paragraph" w:styleId="Testocommento">
    <w:name w:val="annotation text"/>
    <w:basedOn w:val="Normal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rFonts w:ascii="Book Antiqua" w:hAnsi="Book Antiqua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rFonts w:ascii="Book Antiqua" w:hAnsi="Book Antiqua"/>
      <w:b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color w:val="000000"/>
    </w:rPr>
  </w:style>
  <w:style w:type="paragraph" w:styleId="Titolo2">
    <w:name w:val="heading 2"/>
    <w:basedOn w:val="Normale"/>
    <w:next w:val="Normale"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ascii="Book Antiqua" w:hAnsi="Book Antiqua"/>
      <w:sz w:val="24"/>
      <w:szCs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Book Antiqua" w:hAnsi="Book Antiqua"/>
      <w:sz w:val="24"/>
    </w:rPr>
  </w:style>
  <w:style w:type="paragraph" w:styleId="Rientrocorpodeltesto">
    <w:name w:val="Body Text Indent"/>
    <w:basedOn w:val="Normale"/>
    <w:pPr>
      <w:spacing w:after="120"/>
      <w:ind w:firstLine="567"/>
    </w:pPr>
    <w:rPr>
      <w:rFonts w:ascii="Times New Roman" w:hAnsi="Times New Roman"/>
    </w:rPr>
  </w:style>
  <w:style w:type="character" w:customStyle="1" w:styleId="RientrocorpodeltestoCarattere">
    <w:name w:val="Rientro corpo del testo Carattere"/>
    <w:basedOn w:val="Carpredefinitoparagrafo"/>
    <w:rPr>
      <w:rFonts w:ascii="Book Antiqua" w:hAnsi="Book Antiqua"/>
      <w:sz w:val="24"/>
      <w:szCs w:val="24"/>
    </w:rPr>
  </w:style>
  <w:style w:type="character" w:styleId="Numeropagina">
    <w:name w:val="page number"/>
    <w:basedOn w:val="Carpredefinitoparagrafo"/>
    <w:rPr>
      <w:rFonts w:cs="Times New Roman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customStyle="1" w:styleId="Corpodeltesto">
    <w:name w:val="Corpo del testo"/>
    <w:basedOn w:val="Normale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rPr>
      <w:rFonts w:ascii="Book Antiqua" w:hAnsi="Book Antiqua"/>
      <w:sz w:val="24"/>
    </w:rPr>
  </w:style>
  <w:style w:type="paragraph" w:styleId="Paragrafoelenco">
    <w:name w:val="List Paragraph"/>
    <w:basedOn w:val="Normale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263">
    <w:name w:val="style263"/>
    <w:basedOn w:val="Normale"/>
    <w:pPr>
      <w:spacing w:before="100" w:after="100"/>
      <w:jc w:val="left"/>
    </w:pPr>
    <w:rPr>
      <w:rFonts w:ascii="Times New Roman" w:hAnsi="Times New Roman"/>
      <w:color w:val="0066FF"/>
    </w:rPr>
  </w:style>
  <w:style w:type="paragraph" w:styleId="Testonotaapidipagina">
    <w:name w:val="footnote text"/>
    <w:basedOn w:val="Normal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rPr>
      <w:rFonts w:ascii="Book Antiqua" w:hAnsi="Book Antiqua"/>
    </w:r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character" w:styleId="Rimandocommento">
    <w:name w:val="annotation reference"/>
    <w:basedOn w:val="Carpredefinitoparagrafo"/>
    <w:rPr>
      <w:sz w:val="16"/>
    </w:rPr>
  </w:style>
  <w:style w:type="paragraph" w:styleId="Testocommento">
    <w:name w:val="annotation text"/>
    <w:basedOn w:val="Normal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rFonts w:ascii="Book Antiqua" w:hAnsi="Book Antiqua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rFonts w:ascii="Book Antiqua" w:hAnsi="Book Antiqua"/>
      <w:b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P1044432\Desktop\Documents\GARA%20CUSTODE%20ACQUIRENTE%202023\PROCEDURA%20GARA%202023%20C6\ATTI%20DI%20GARA%20FORLI'-CESENA\ALLEGATI%20FERRARA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ORU</Template>
  <TotalTime>10</TotalTime>
  <Pages>3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CENSRVVSCM005</Company>
  <LinksUpToDate>false</LinksUpToDate>
  <CharactersWithSpaces>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Giulia La Vecchia</cp:lastModifiedBy>
  <cp:revision>6</cp:revision>
  <cp:lastPrinted>2018-11-30T14:24:00Z</cp:lastPrinted>
  <dcterms:created xsi:type="dcterms:W3CDTF">2023-03-03T12:54:00Z</dcterms:created>
  <dcterms:modified xsi:type="dcterms:W3CDTF">2023-06-19T09:17:00Z</dcterms:modified>
</cp:coreProperties>
</file>