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4049" w:rsidRPr="00B02292" w:rsidRDefault="00634049" w:rsidP="00B02292">
      <w:pPr>
        <w:pStyle w:val="Paragrafoelenco"/>
        <w:tabs>
          <w:tab w:val="left" w:pos="720"/>
        </w:tabs>
        <w:spacing w:line="276" w:lineRule="auto"/>
        <w:ind w:left="0" w:right="20"/>
        <w:contextualSpacing/>
        <w:jc w:val="both"/>
        <w:rPr>
          <w:rFonts w:ascii="Times New Roman" w:hAnsi="Times New Roman" w:cs="Times New Roman"/>
          <w:b/>
          <w:sz w:val="28"/>
          <w:szCs w:val="28"/>
          <w:lang w:eastAsia="en-US"/>
        </w:rPr>
      </w:pPr>
      <w:r w:rsidRPr="00B02292">
        <w:rPr>
          <w:rFonts w:ascii="Times New Roman" w:eastAsia="Arial" w:hAnsi="Times New Roman" w:cs="Times New Roman"/>
          <w:b/>
          <w:color w:val="auto"/>
          <w:sz w:val="28"/>
          <w:szCs w:val="28"/>
          <w:lang w:val="it-IT"/>
        </w:rPr>
        <w:t>Procedura</w:t>
      </w:r>
      <w:r w:rsidRPr="00B02292">
        <w:rPr>
          <w:rFonts w:ascii="Times New Roman" w:hAnsi="Times New Roman" w:cs="Times New Roman"/>
          <w:b/>
          <w:sz w:val="28"/>
          <w:szCs w:val="28"/>
        </w:rPr>
        <w:t xml:space="preserve"> negoziata per l’affidamento dell’appalto dei servizi di gestione </w:t>
      </w:r>
      <w:proofErr w:type="gramStart"/>
      <w:r w:rsidRPr="00B02292">
        <w:rPr>
          <w:rFonts w:ascii="Times New Roman" w:hAnsi="Times New Roman" w:cs="Times New Roman"/>
          <w:b/>
          <w:sz w:val="28"/>
          <w:szCs w:val="28"/>
        </w:rPr>
        <w:t xml:space="preserve">e </w:t>
      </w:r>
      <w:r w:rsidR="00B02292">
        <w:rPr>
          <w:rFonts w:ascii="Times New Roman" w:hAnsi="Times New Roman" w:cs="Times New Roman"/>
          <w:b/>
          <w:sz w:val="28"/>
          <w:szCs w:val="28"/>
        </w:rPr>
        <w:t xml:space="preserve"> f</w:t>
      </w:r>
      <w:r w:rsidRPr="00B02292">
        <w:rPr>
          <w:rFonts w:ascii="Times New Roman" w:hAnsi="Times New Roman" w:cs="Times New Roman"/>
          <w:b/>
          <w:sz w:val="28"/>
          <w:szCs w:val="28"/>
        </w:rPr>
        <w:t>unzionamento</w:t>
      </w:r>
      <w:proofErr w:type="gramEnd"/>
      <w:r w:rsidRPr="00B02292">
        <w:rPr>
          <w:rFonts w:ascii="Times New Roman" w:hAnsi="Times New Roman" w:cs="Times New Roman"/>
          <w:b/>
          <w:sz w:val="28"/>
          <w:szCs w:val="28"/>
        </w:rPr>
        <w:t xml:space="preserve"> di centri di cui all’art. 11, comma 2 bis </w:t>
      </w:r>
      <w:proofErr w:type="spellStart"/>
      <w:r w:rsidRPr="00B02292">
        <w:rPr>
          <w:rFonts w:ascii="Times New Roman" w:hAnsi="Times New Roman" w:cs="Times New Roman"/>
          <w:b/>
          <w:sz w:val="28"/>
          <w:szCs w:val="28"/>
        </w:rPr>
        <w:t>d.lgs</w:t>
      </w:r>
      <w:proofErr w:type="spellEnd"/>
      <w:r w:rsidRPr="00B02292">
        <w:rPr>
          <w:rFonts w:ascii="Times New Roman" w:hAnsi="Times New Roman" w:cs="Times New Roman"/>
          <w:b/>
          <w:sz w:val="28"/>
          <w:szCs w:val="28"/>
        </w:rPr>
        <w:t xml:space="preserve"> 18 agosto 2015, n.142 e </w:t>
      </w:r>
      <w:proofErr w:type="spellStart"/>
      <w:r w:rsidRPr="00B02292">
        <w:rPr>
          <w:rFonts w:ascii="Times New Roman" w:hAnsi="Times New Roman" w:cs="Times New Roman"/>
          <w:b/>
          <w:sz w:val="28"/>
          <w:szCs w:val="28"/>
        </w:rPr>
        <w:t>s.m.i.</w:t>
      </w:r>
      <w:proofErr w:type="spellEnd"/>
    </w:p>
    <w:p w:rsidR="00634049" w:rsidRPr="00B02292" w:rsidRDefault="00634049" w:rsidP="00634049">
      <w:pPr>
        <w:widowControl w:val="0"/>
        <w:spacing w:before="60" w:after="60"/>
        <w:ind w:left="1080"/>
        <w:rPr>
          <w:rFonts w:ascii="Times New Roman" w:hAnsi="Times New Roman"/>
          <w:b/>
          <w:sz w:val="24"/>
          <w:szCs w:val="24"/>
          <w:lang w:eastAsia="it-IT"/>
        </w:rPr>
      </w:pPr>
      <w:bookmarkStart w:id="0" w:name="_GoBack"/>
      <w:bookmarkEnd w:id="0"/>
    </w:p>
    <w:p w:rsidR="00EA7D5F" w:rsidRPr="00B02292" w:rsidRDefault="00563118" w:rsidP="00C85075">
      <w:pPr>
        <w:spacing w:after="0" w:line="240" w:lineRule="auto"/>
        <w:jc w:val="both"/>
        <w:rPr>
          <w:rFonts w:ascii="Times New Roman" w:eastAsia="Times New Roman" w:hAnsi="Times New Roman"/>
          <w:b/>
          <w:kern w:val="2"/>
          <w:sz w:val="24"/>
          <w:szCs w:val="24"/>
          <w:u w:val="thick"/>
          <w:lang w:eastAsia="zh-CN" w:bidi="hi-IN"/>
        </w:rPr>
      </w:pPr>
      <w:r w:rsidRPr="00B02292">
        <w:rPr>
          <w:rFonts w:ascii="Times New Roman" w:eastAsia="Times New Roman" w:hAnsi="Times New Roman"/>
          <w:b/>
          <w:kern w:val="2"/>
          <w:sz w:val="24"/>
          <w:szCs w:val="24"/>
          <w:u w:val="thick"/>
          <w:lang w:eastAsia="zh-CN" w:bidi="hi-IN"/>
        </w:rPr>
        <w:t>SCHEMA</w:t>
      </w:r>
      <w:r w:rsidR="004C32F5" w:rsidRPr="00B02292">
        <w:rPr>
          <w:rFonts w:ascii="Times New Roman" w:eastAsia="Times New Roman" w:hAnsi="Times New Roman"/>
          <w:b/>
          <w:kern w:val="2"/>
          <w:sz w:val="24"/>
          <w:szCs w:val="24"/>
          <w:u w:val="thick"/>
          <w:lang w:eastAsia="zh-CN" w:bidi="hi-IN"/>
        </w:rPr>
        <w:t xml:space="preserve"> </w:t>
      </w:r>
      <w:r w:rsidR="00447FC2" w:rsidRPr="00B02292">
        <w:rPr>
          <w:rFonts w:ascii="Times New Roman" w:eastAsia="Times New Roman" w:hAnsi="Times New Roman"/>
          <w:b/>
          <w:kern w:val="2"/>
          <w:sz w:val="24"/>
          <w:szCs w:val="24"/>
          <w:u w:val="thick"/>
          <w:lang w:eastAsia="zh-CN" w:bidi="hi-IN"/>
        </w:rPr>
        <w:t>OFFERTA TECNICA</w:t>
      </w:r>
      <w:r w:rsidR="001F169E" w:rsidRPr="00B02292">
        <w:rPr>
          <w:rFonts w:ascii="Times New Roman" w:eastAsia="Times New Roman" w:hAnsi="Times New Roman"/>
          <w:b/>
          <w:kern w:val="2"/>
          <w:sz w:val="24"/>
          <w:szCs w:val="24"/>
          <w:u w:val="thick"/>
          <w:lang w:eastAsia="zh-CN" w:bidi="hi-IN"/>
        </w:rPr>
        <w:t xml:space="preserve"> </w:t>
      </w:r>
      <w:r w:rsidR="005143F3" w:rsidRPr="00B02292">
        <w:rPr>
          <w:rFonts w:ascii="Times New Roman" w:eastAsia="Times New Roman" w:hAnsi="Times New Roman"/>
          <w:b/>
          <w:kern w:val="2"/>
          <w:sz w:val="24"/>
          <w:szCs w:val="24"/>
          <w:u w:val="thick"/>
          <w:lang w:eastAsia="zh-CN" w:bidi="hi-IN"/>
        </w:rPr>
        <w:t>(fac-simile)</w:t>
      </w:r>
    </w:p>
    <w:p w:rsidR="00EA7D5F" w:rsidRPr="00B02292" w:rsidRDefault="00EA7D5F" w:rsidP="00C85075">
      <w:pPr>
        <w:tabs>
          <w:tab w:val="right" w:pos="9639"/>
        </w:tabs>
        <w:suppressAutoHyphens/>
        <w:spacing w:after="0" w:line="240" w:lineRule="auto"/>
        <w:jc w:val="both"/>
        <w:textAlignment w:val="baseline"/>
        <w:rPr>
          <w:rFonts w:ascii="Times New Roman" w:eastAsia="Times New Roman" w:hAnsi="Times New Roman"/>
          <w:kern w:val="2"/>
          <w:sz w:val="24"/>
          <w:szCs w:val="24"/>
          <w:u w:val="single"/>
          <w:lang w:eastAsia="zh-CN" w:bidi="hi-IN"/>
        </w:rPr>
      </w:pPr>
    </w:p>
    <w:p w:rsidR="006306E2" w:rsidRPr="00B02292" w:rsidRDefault="006306E2" w:rsidP="00C85075">
      <w:pPr>
        <w:pStyle w:val="Default"/>
        <w:jc w:val="both"/>
        <w:rPr>
          <w:rFonts w:ascii="Times New Roman" w:hAnsi="Times New Roman" w:cs="Times New Roman"/>
        </w:rPr>
      </w:pPr>
      <w:r w:rsidRPr="00B02292">
        <w:rPr>
          <w:rFonts w:ascii="Times New Roman" w:hAnsi="Times New Roman" w:cs="Times New Roman"/>
        </w:rPr>
        <w:t xml:space="preserve">Il/La sottoscritto/a ___________________________, nato/a </w:t>
      </w:r>
      <w:proofErr w:type="spellStart"/>
      <w:r w:rsidRPr="00B02292">
        <w:rPr>
          <w:rFonts w:ascii="Times New Roman" w:hAnsi="Times New Roman" w:cs="Times New Roman"/>
        </w:rPr>
        <w:t>a</w:t>
      </w:r>
      <w:proofErr w:type="spellEnd"/>
      <w:r w:rsidRPr="00B02292">
        <w:rPr>
          <w:rFonts w:ascii="Times New Roman" w:hAnsi="Times New Roman" w:cs="Times New Roman"/>
        </w:rPr>
        <w:t xml:space="preserve"> ______________________ il __________, in qualità di_____________________________ e legale rappresentante della __________________________________________, con sede legale in ________________________, via__________________________,C.F.______________________________,</w:t>
      </w:r>
    </w:p>
    <w:p w:rsidR="006306E2" w:rsidRPr="00B02292" w:rsidRDefault="006306E2" w:rsidP="00C85075">
      <w:pPr>
        <w:pStyle w:val="Default"/>
        <w:jc w:val="both"/>
        <w:rPr>
          <w:rFonts w:ascii="Times New Roman" w:hAnsi="Times New Roman" w:cs="Times New Roman"/>
          <w:b/>
        </w:rPr>
      </w:pPr>
      <w:r w:rsidRPr="00B02292">
        <w:rPr>
          <w:rFonts w:ascii="Times New Roman" w:hAnsi="Times New Roman" w:cs="Times New Roman"/>
          <w:b/>
        </w:rPr>
        <w:t>oppure</w:t>
      </w:r>
    </w:p>
    <w:p w:rsidR="006306E2" w:rsidRPr="00B02292" w:rsidRDefault="006306E2" w:rsidP="00C85075">
      <w:pPr>
        <w:pStyle w:val="Default"/>
        <w:jc w:val="both"/>
        <w:rPr>
          <w:rFonts w:ascii="Times New Roman" w:hAnsi="Times New Roman" w:cs="Times New Roman"/>
        </w:rPr>
      </w:pPr>
      <w:r w:rsidRPr="00B02292">
        <w:rPr>
          <w:rFonts w:ascii="Times New Roman" w:hAnsi="Times New Roman" w:cs="Times New Roman"/>
        </w:rPr>
        <w:t>in qualità di procuratore speciale, giusta procura speciale autenticata nella firma in data _______ dal notaio dott. __________________, allegata in copia autenticata;</w:t>
      </w:r>
    </w:p>
    <w:p w:rsidR="006306E2" w:rsidRPr="00B02292" w:rsidRDefault="006306E2" w:rsidP="00C85075">
      <w:pPr>
        <w:pStyle w:val="Default"/>
        <w:jc w:val="both"/>
        <w:rPr>
          <w:rFonts w:ascii="Times New Roman" w:hAnsi="Times New Roman" w:cs="Times New Roman"/>
        </w:rPr>
      </w:pPr>
    </w:p>
    <w:p w:rsidR="006306E2" w:rsidRPr="00B02292" w:rsidRDefault="006306E2" w:rsidP="004D0FD8">
      <w:pPr>
        <w:spacing w:after="0" w:line="240" w:lineRule="auto"/>
        <w:jc w:val="center"/>
        <w:rPr>
          <w:rFonts w:ascii="Times New Roman" w:hAnsi="Times New Roman"/>
          <w:b/>
          <w:bCs/>
          <w:sz w:val="24"/>
          <w:szCs w:val="24"/>
        </w:rPr>
      </w:pPr>
      <w:r w:rsidRPr="00B02292">
        <w:rPr>
          <w:rFonts w:ascii="Times New Roman" w:hAnsi="Times New Roman"/>
          <w:b/>
          <w:bCs/>
          <w:sz w:val="24"/>
          <w:szCs w:val="24"/>
        </w:rPr>
        <w:t>D I C H I A R A</w:t>
      </w:r>
    </w:p>
    <w:p w:rsidR="006306E2" w:rsidRPr="00B02292" w:rsidRDefault="006306E2" w:rsidP="00C85075">
      <w:pPr>
        <w:spacing w:after="0" w:line="240" w:lineRule="auto"/>
        <w:jc w:val="both"/>
        <w:rPr>
          <w:rFonts w:ascii="Times New Roman" w:hAnsi="Times New Roman"/>
          <w:b/>
          <w:bCs/>
          <w:sz w:val="24"/>
          <w:szCs w:val="24"/>
        </w:rPr>
      </w:pPr>
    </w:p>
    <w:p w:rsidR="006306E2" w:rsidRPr="00B02292" w:rsidRDefault="006306E2" w:rsidP="00C85075">
      <w:pPr>
        <w:spacing w:after="0" w:line="240" w:lineRule="auto"/>
        <w:jc w:val="both"/>
        <w:rPr>
          <w:rFonts w:ascii="Times New Roman" w:hAnsi="Times New Roman"/>
          <w:b/>
          <w:bCs/>
          <w:sz w:val="24"/>
          <w:szCs w:val="24"/>
        </w:rPr>
      </w:pPr>
    </w:p>
    <w:p w:rsidR="006306E2" w:rsidRPr="00B02292" w:rsidRDefault="006306E2" w:rsidP="00D8091B">
      <w:pPr>
        <w:spacing w:after="0" w:line="240" w:lineRule="auto"/>
        <w:jc w:val="both"/>
        <w:rPr>
          <w:rFonts w:ascii="Times New Roman" w:hAnsi="Times New Roman"/>
          <w:b/>
          <w:bCs/>
          <w:i/>
          <w:iCs/>
          <w:sz w:val="24"/>
          <w:szCs w:val="24"/>
          <w:u w:val="single"/>
        </w:rPr>
      </w:pPr>
      <w:r w:rsidRPr="00B02292">
        <w:rPr>
          <w:rFonts w:ascii="Times New Roman" w:hAnsi="Times New Roman"/>
          <w:bCs/>
          <w:sz w:val="24"/>
          <w:szCs w:val="24"/>
        </w:rPr>
        <w:t xml:space="preserve">di essere disponibile ad effettuare l’erogazione dei servizi di accoglienza e le forniture specificati nel Capitolato d’appalto e nelle Specifiche Tecniche di cui all’Allegato al predetto capitolato e </w:t>
      </w:r>
      <w:r w:rsidR="00D8091B" w:rsidRPr="00B02292">
        <w:rPr>
          <w:rFonts w:ascii="Times New Roman" w:hAnsi="Times New Roman"/>
          <w:bCs/>
          <w:sz w:val="24"/>
          <w:szCs w:val="24"/>
        </w:rPr>
        <w:t>a</w:t>
      </w:r>
      <w:r w:rsidRPr="00B02292">
        <w:rPr>
          <w:rFonts w:ascii="Times New Roman" w:hAnsi="Times New Roman"/>
          <w:bCs/>
          <w:sz w:val="24"/>
          <w:szCs w:val="24"/>
        </w:rPr>
        <w:t xml:space="preserve"> tal fine presenta l’Offerta Tecnica di seguito specificata, secondo i criteri ed i parametri indicati nel capitolato di gara con </w:t>
      </w:r>
      <w:r w:rsidRPr="00B02292">
        <w:rPr>
          <w:rFonts w:ascii="Times New Roman" w:hAnsi="Times New Roman"/>
          <w:b/>
          <w:bCs/>
          <w:sz w:val="24"/>
          <w:szCs w:val="24"/>
          <w:u w:val="single"/>
        </w:rPr>
        <w:t>specifico riferimento all’Allegato</w:t>
      </w:r>
      <w:proofErr w:type="gramStart"/>
      <w:r w:rsidRPr="00B02292">
        <w:rPr>
          <w:rFonts w:ascii="Times New Roman" w:hAnsi="Times New Roman"/>
          <w:b/>
          <w:bCs/>
          <w:sz w:val="24"/>
          <w:szCs w:val="24"/>
          <w:u w:val="single"/>
        </w:rPr>
        <w:t xml:space="preserve"> </w:t>
      </w:r>
      <w:r w:rsidRPr="00B02292">
        <w:rPr>
          <w:rFonts w:ascii="Times New Roman" w:hAnsi="Times New Roman"/>
          <w:b/>
          <w:bCs/>
          <w:i/>
          <w:iCs/>
          <w:sz w:val="24"/>
          <w:szCs w:val="24"/>
          <w:u w:val="single"/>
        </w:rPr>
        <w:t xml:space="preserve">  “</w:t>
      </w:r>
      <w:proofErr w:type="gramEnd"/>
      <w:r w:rsidRPr="00B02292">
        <w:rPr>
          <w:rFonts w:ascii="Times New Roman" w:hAnsi="Times New Roman"/>
          <w:b/>
          <w:bCs/>
          <w:i/>
          <w:iCs/>
          <w:sz w:val="24"/>
          <w:szCs w:val="24"/>
          <w:u w:val="single"/>
        </w:rPr>
        <w:t xml:space="preserve">Criteri di valutazione”. </w:t>
      </w:r>
    </w:p>
    <w:p w:rsidR="00C666DA" w:rsidRPr="00B02292" w:rsidRDefault="00C666DA" w:rsidP="00C85075">
      <w:pPr>
        <w:spacing w:after="0" w:line="240" w:lineRule="auto"/>
        <w:jc w:val="both"/>
        <w:rPr>
          <w:rFonts w:ascii="Times New Roman" w:hAnsi="Times New Roman"/>
          <w:b/>
          <w:bCs/>
          <w:i/>
          <w:sz w:val="24"/>
          <w:szCs w:val="24"/>
        </w:rPr>
      </w:pPr>
    </w:p>
    <w:p w:rsidR="00C16EA2" w:rsidRPr="00B02292" w:rsidRDefault="006306E2" w:rsidP="00C85075">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N.B. </w:t>
      </w:r>
      <w:r w:rsidR="00C16EA2" w:rsidRPr="00B02292">
        <w:rPr>
          <w:rFonts w:ascii="Times New Roman" w:eastAsia="Arial" w:hAnsi="Times New Roman"/>
          <w:sz w:val="24"/>
          <w:szCs w:val="24"/>
        </w:rPr>
        <w:t xml:space="preserve">Il concorrente deve articolare la relazione tecnica secondo quanto precisato ai punti B.1 e B.2, in modo da garantire l’esatta corrispondenza con gli elementi di valutazione dell’offerta tecnica riportati nella parte D; </w:t>
      </w:r>
    </w:p>
    <w:p w:rsidR="00C16EA2" w:rsidRPr="00B02292" w:rsidRDefault="00C16EA2" w:rsidP="00C85075">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L’offerta tecnica può altresì contenere: </w:t>
      </w:r>
    </w:p>
    <w:p w:rsidR="00C16EA2" w:rsidRPr="00B02292" w:rsidRDefault="00C16EA2" w:rsidP="00C85075">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2) (per gli operatori che applicano un CCNL diverso da quello indicato all’art. 3 del disciplinare) dichiarazione di equivalenza delle tutele e documentazione probatoria sulla equivalenza del proprio CCNL; </w:t>
      </w:r>
    </w:p>
    <w:p w:rsidR="00C16EA2" w:rsidRPr="00B02292" w:rsidRDefault="00C16EA2" w:rsidP="00C85075">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3) dichiarazione in cui il concorrente indica le parti dell’offerta coperte da riservatezza e spiega le ragioni per le quali tali parti sono da considerare segreti tecnici/commerciali. </w:t>
      </w:r>
    </w:p>
    <w:p w:rsidR="00C16EA2" w:rsidRPr="00B02292" w:rsidRDefault="00C16EA2" w:rsidP="00C85075">
      <w:pPr>
        <w:spacing w:after="0" w:line="240" w:lineRule="auto"/>
        <w:ind w:hanging="119"/>
        <w:jc w:val="both"/>
        <w:rPr>
          <w:rFonts w:ascii="Times New Roman" w:eastAsia="Arial" w:hAnsi="Times New Roman"/>
          <w:sz w:val="24"/>
          <w:szCs w:val="24"/>
        </w:rPr>
      </w:pPr>
    </w:p>
    <w:p w:rsidR="00C16EA2" w:rsidRPr="00B02292" w:rsidRDefault="00C16EA2" w:rsidP="00C85075">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Il concorrente allega anche copia firmata della relazione tecnica adeguatamente oscurata nelle suddette parti. Resta ferma, la facoltà della stazione appaltante di valutare la fondatezza delle motivazioni addotte e di chiedere al concorrente di dimostrare la tangibile sussistenza di eventuali segreti tecnici e commerciali. </w:t>
      </w:r>
    </w:p>
    <w:p w:rsidR="006306E2" w:rsidRPr="00B02292" w:rsidRDefault="00C16EA2" w:rsidP="00C85075">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L’assenza dei documenti di cui ai </w:t>
      </w:r>
      <w:proofErr w:type="spellStart"/>
      <w:r w:rsidRPr="00B02292">
        <w:rPr>
          <w:rFonts w:ascii="Times New Roman" w:eastAsia="Arial" w:hAnsi="Times New Roman"/>
          <w:sz w:val="24"/>
          <w:szCs w:val="24"/>
        </w:rPr>
        <w:t>nn</w:t>
      </w:r>
      <w:proofErr w:type="spellEnd"/>
      <w:r w:rsidRPr="00B02292">
        <w:rPr>
          <w:rFonts w:ascii="Times New Roman" w:eastAsia="Arial" w:hAnsi="Times New Roman"/>
          <w:sz w:val="24"/>
          <w:szCs w:val="24"/>
        </w:rPr>
        <w:t>. 2) e 3) non comporta l’esclusione.</w:t>
      </w:r>
    </w:p>
    <w:p w:rsidR="00C16EA2" w:rsidRPr="00B02292" w:rsidRDefault="00C16EA2" w:rsidP="00C85075">
      <w:pPr>
        <w:spacing w:after="0" w:line="240" w:lineRule="auto"/>
        <w:jc w:val="both"/>
        <w:rPr>
          <w:rFonts w:ascii="Times New Roman" w:hAnsi="Times New Roman"/>
          <w:bCs/>
          <w:i/>
          <w:sz w:val="24"/>
          <w:szCs w:val="24"/>
        </w:rPr>
      </w:pPr>
    </w:p>
    <w:p w:rsidR="006306E2" w:rsidRPr="00B02292" w:rsidRDefault="006306E2" w:rsidP="00C85075">
      <w:pPr>
        <w:numPr>
          <w:ilvl w:val="0"/>
          <w:numId w:val="7"/>
        </w:numPr>
        <w:spacing w:after="0" w:line="240" w:lineRule="auto"/>
        <w:ind w:left="0" w:hanging="284"/>
        <w:jc w:val="both"/>
        <w:rPr>
          <w:rFonts w:ascii="Times New Roman" w:hAnsi="Times New Roman"/>
          <w:bCs/>
          <w:sz w:val="24"/>
          <w:szCs w:val="24"/>
        </w:rPr>
      </w:pPr>
      <w:r w:rsidRPr="00B02292">
        <w:rPr>
          <w:rFonts w:ascii="Times New Roman" w:hAnsi="Times New Roman"/>
          <w:bCs/>
          <w:sz w:val="24"/>
          <w:szCs w:val="24"/>
        </w:rPr>
        <w:t>Relazione illustrativa:</w:t>
      </w:r>
    </w:p>
    <w:p w:rsidR="006306E2" w:rsidRPr="00B02292" w:rsidRDefault="006306E2" w:rsidP="00C85075">
      <w:pPr>
        <w:spacing w:after="0" w:line="240" w:lineRule="auto"/>
        <w:jc w:val="both"/>
        <w:rPr>
          <w:rFonts w:ascii="Times New Roman" w:hAnsi="Times New Roman"/>
          <w:bCs/>
          <w:sz w:val="24"/>
          <w:szCs w:val="24"/>
        </w:rPr>
      </w:pPr>
      <w:r w:rsidRPr="00B02292">
        <w:rPr>
          <w:rFonts w:ascii="Times New Roman" w:hAnsi="Times New Roman"/>
          <w:bCs/>
          <w:sz w:val="24"/>
          <w:szCs w:val="24"/>
        </w:rPr>
        <w:t>________________________________________________________________________________</w:t>
      </w:r>
    </w:p>
    <w:p w:rsidR="006306E2" w:rsidRPr="00B02292" w:rsidRDefault="006306E2" w:rsidP="00C85075">
      <w:pPr>
        <w:spacing w:after="0" w:line="240" w:lineRule="auto"/>
        <w:jc w:val="both"/>
        <w:rPr>
          <w:rFonts w:ascii="Times New Roman" w:hAnsi="Times New Roman"/>
          <w:bCs/>
          <w:sz w:val="24"/>
          <w:szCs w:val="24"/>
        </w:rPr>
      </w:pPr>
      <w:r w:rsidRPr="00B02292">
        <w:rPr>
          <w:rFonts w:ascii="Times New Roman" w:hAnsi="Times New Roman"/>
          <w:bCs/>
          <w:sz w:val="24"/>
          <w:szCs w:val="24"/>
        </w:rPr>
        <w:t>________________________________________________________________________________</w:t>
      </w:r>
    </w:p>
    <w:p w:rsidR="006306E2" w:rsidRPr="00B02292" w:rsidRDefault="006306E2" w:rsidP="00C85075">
      <w:pPr>
        <w:spacing w:after="0" w:line="240" w:lineRule="auto"/>
        <w:jc w:val="both"/>
        <w:rPr>
          <w:rFonts w:ascii="Times New Roman" w:hAnsi="Times New Roman"/>
          <w:bCs/>
          <w:sz w:val="24"/>
          <w:szCs w:val="24"/>
        </w:rPr>
      </w:pPr>
      <w:r w:rsidRPr="00B02292">
        <w:rPr>
          <w:rFonts w:ascii="Times New Roman" w:hAnsi="Times New Roman"/>
          <w:bCs/>
          <w:sz w:val="24"/>
          <w:szCs w:val="24"/>
        </w:rPr>
        <w:t>________________________________________________________________________________________________________________________________________________________________________________________________________________________________________________</w:t>
      </w:r>
    </w:p>
    <w:p w:rsidR="009C4888" w:rsidRPr="00B02292" w:rsidRDefault="009C4888" w:rsidP="00C85075">
      <w:pPr>
        <w:spacing w:after="0" w:line="240" w:lineRule="auto"/>
        <w:jc w:val="both"/>
        <w:rPr>
          <w:rFonts w:ascii="Times New Roman" w:hAnsi="Times New Roman"/>
          <w:bCs/>
          <w:sz w:val="24"/>
          <w:szCs w:val="24"/>
        </w:rPr>
      </w:pPr>
    </w:p>
    <w:p w:rsidR="00C16EA2" w:rsidRPr="00B02292" w:rsidRDefault="00C16EA2" w:rsidP="00C85075">
      <w:pPr>
        <w:spacing w:after="0" w:line="240" w:lineRule="auto"/>
        <w:jc w:val="both"/>
        <w:rPr>
          <w:rFonts w:ascii="Times New Roman" w:hAnsi="Times New Roman"/>
          <w:bCs/>
          <w:sz w:val="24"/>
          <w:szCs w:val="24"/>
        </w:rPr>
      </w:pPr>
    </w:p>
    <w:p w:rsidR="009C4888" w:rsidRPr="00B02292" w:rsidRDefault="009C4888" w:rsidP="00C85075">
      <w:pPr>
        <w:spacing w:after="0" w:line="240" w:lineRule="auto"/>
        <w:jc w:val="both"/>
        <w:rPr>
          <w:rFonts w:ascii="Times New Roman" w:hAnsi="Times New Roman"/>
          <w:bCs/>
          <w:sz w:val="24"/>
          <w:szCs w:val="24"/>
        </w:rPr>
      </w:pPr>
    </w:p>
    <w:p w:rsidR="006306E2" w:rsidRPr="00B02292" w:rsidRDefault="006306E2" w:rsidP="00C85075">
      <w:pPr>
        <w:spacing w:after="0" w:line="240" w:lineRule="auto"/>
        <w:ind w:hanging="119"/>
        <w:jc w:val="both"/>
        <w:rPr>
          <w:rFonts w:ascii="Times New Roman" w:hAnsi="Times New Roman"/>
          <w:b/>
          <w:sz w:val="24"/>
          <w:szCs w:val="24"/>
        </w:rPr>
      </w:pPr>
      <w:r w:rsidRPr="00B02292">
        <w:rPr>
          <w:rFonts w:ascii="Times New Roman" w:eastAsia="Times New Roman" w:hAnsi="Times New Roman"/>
          <w:b/>
          <w:sz w:val="24"/>
          <w:szCs w:val="24"/>
          <w:lang w:eastAsia="zh-CN"/>
        </w:rPr>
        <w:t>D.1) QUALITA’ DEL SERVIZIO OFFERTO (</w:t>
      </w:r>
      <w:proofErr w:type="spellStart"/>
      <w:r w:rsidRPr="00B02292">
        <w:rPr>
          <w:rFonts w:ascii="Times New Roman" w:eastAsia="Times New Roman" w:hAnsi="Times New Roman"/>
          <w:b/>
          <w:sz w:val="24"/>
          <w:szCs w:val="24"/>
          <w:lang w:eastAsia="zh-CN"/>
        </w:rPr>
        <w:t>max</w:t>
      </w:r>
      <w:proofErr w:type="spellEnd"/>
      <w:r w:rsidRPr="00B02292">
        <w:rPr>
          <w:rFonts w:ascii="Times New Roman" w:eastAsia="Times New Roman" w:hAnsi="Times New Roman"/>
          <w:b/>
          <w:sz w:val="24"/>
          <w:szCs w:val="24"/>
          <w:lang w:eastAsia="zh-CN"/>
        </w:rPr>
        <w:t xml:space="preserve"> </w:t>
      </w:r>
      <w:r w:rsidR="00C500F1" w:rsidRPr="00B02292">
        <w:rPr>
          <w:rFonts w:ascii="Times New Roman" w:eastAsia="Times New Roman" w:hAnsi="Times New Roman"/>
          <w:b/>
          <w:sz w:val="24"/>
          <w:szCs w:val="24"/>
          <w:lang w:eastAsia="zh-CN"/>
        </w:rPr>
        <w:t>46</w:t>
      </w:r>
      <w:r w:rsidRPr="00B02292">
        <w:rPr>
          <w:rFonts w:ascii="Times New Roman" w:eastAsia="Times New Roman" w:hAnsi="Times New Roman"/>
          <w:b/>
          <w:sz w:val="24"/>
          <w:szCs w:val="24"/>
          <w:lang w:eastAsia="zh-CN"/>
        </w:rPr>
        <w:t xml:space="preserve"> punti)</w:t>
      </w:r>
      <w:r w:rsidRPr="00B02292">
        <w:rPr>
          <w:rFonts w:ascii="Times New Roman" w:eastAsia="Arial" w:hAnsi="Times New Roman"/>
          <w:sz w:val="24"/>
          <w:szCs w:val="24"/>
        </w:rPr>
        <w:t xml:space="preserve"> La quota del punteggio relativa alla qualità del servizio di complessivi </w:t>
      </w:r>
      <w:r w:rsidRPr="00B02292">
        <w:rPr>
          <w:rFonts w:ascii="Times New Roman" w:eastAsia="Arial" w:hAnsi="Times New Roman"/>
          <w:b/>
          <w:sz w:val="24"/>
          <w:szCs w:val="24"/>
        </w:rPr>
        <w:t xml:space="preserve">47 </w:t>
      </w:r>
      <w:r w:rsidRPr="00B02292">
        <w:rPr>
          <w:rFonts w:ascii="Times New Roman" w:eastAsia="Arial" w:hAnsi="Times New Roman"/>
          <w:sz w:val="24"/>
          <w:szCs w:val="24"/>
        </w:rPr>
        <w:t xml:space="preserve">punti viene attribuita </w:t>
      </w:r>
      <w:r w:rsidRPr="00B02292">
        <w:rPr>
          <w:rFonts w:ascii="Times New Roman" w:hAnsi="Times New Roman"/>
          <w:sz w:val="24"/>
          <w:szCs w:val="24"/>
        </w:rPr>
        <w:t xml:space="preserve">mediante </w:t>
      </w:r>
      <w:r w:rsidRPr="00B02292">
        <w:rPr>
          <w:rFonts w:ascii="Times New Roman" w:hAnsi="Times New Roman"/>
          <w:b/>
          <w:sz w:val="24"/>
          <w:szCs w:val="24"/>
        </w:rPr>
        <w:t>sommatoria dei seguenti criteri tabellari:</w:t>
      </w:r>
    </w:p>
    <w:p w:rsidR="006306E2" w:rsidRPr="00B02292" w:rsidRDefault="006306E2" w:rsidP="00C85075">
      <w:pPr>
        <w:numPr>
          <w:ilvl w:val="0"/>
          <w:numId w:val="8"/>
        </w:numPr>
        <w:spacing w:after="0" w:line="240" w:lineRule="auto"/>
        <w:ind w:left="0" w:hanging="283"/>
        <w:contextualSpacing/>
        <w:jc w:val="both"/>
        <w:rPr>
          <w:rFonts w:ascii="Times New Roman" w:hAnsi="Times New Roman"/>
          <w:sz w:val="24"/>
          <w:szCs w:val="24"/>
        </w:rPr>
      </w:pPr>
      <w:r w:rsidRPr="00B02292">
        <w:rPr>
          <w:rFonts w:ascii="Times New Roman" w:hAnsi="Times New Roman"/>
          <w:sz w:val="24"/>
          <w:szCs w:val="24"/>
        </w:rPr>
        <w:lastRenderedPageBreak/>
        <w:t xml:space="preserve">nella misura massima di </w:t>
      </w:r>
      <w:r w:rsidRPr="00B02292">
        <w:rPr>
          <w:rFonts w:ascii="Times New Roman" w:hAnsi="Times New Roman"/>
          <w:b/>
          <w:sz w:val="24"/>
          <w:szCs w:val="24"/>
        </w:rPr>
        <w:t>3</w:t>
      </w:r>
      <w:r w:rsidR="00C500F1" w:rsidRPr="00B02292">
        <w:rPr>
          <w:rFonts w:ascii="Times New Roman" w:hAnsi="Times New Roman"/>
          <w:b/>
          <w:sz w:val="24"/>
          <w:szCs w:val="24"/>
        </w:rPr>
        <w:t>4</w:t>
      </w:r>
      <w:r w:rsidRPr="00B02292">
        <w:rPr>
          <w:rFonts w:ascii="Times New Roman" w:hAnsi="Times New Roman"/>
          <w:sz w:val="24"/>
          <w:szCs w:val="24"/>
        </w:rPr>
        <w:t xml:space="preserve"> punti valutando l’organizzazione del servizio sotto il profilo </w:t>
      </w:r>
      <w:r w:rsidR="00C500F1" w:rsidRPr="00B02292">
        <w:rPr>
          <w:rFonts w:ascii="Times New Roman" w:hAnsi="Times New Roman"/>
          <w:sz w:val="24"/>
          <w:szCs w:val="24"/>
        </w:rPr>
        <w:t>delle maggiori risorse di personale;</w:t>
      </w:r>
    </w:p>
    <w:p w:rsidR="006306E2" w:rsidRPr="00B02292" w:rsidRDefault="006306E2" w:rsidP="00C85075">
      <w:pPr>
        <w:numPr>
          <w:ilvl w:val="0"/>
          <w:numId w:val="8"/>
        </w:numPr>
        <w:spacing w:after="0" w:line="240" w:lineRule="auto"/>
        <w:ind w:left="0"/>
        <w:contextualSpacing/>
        <w:jc w:val="both"/>
        <w:rPr>
          <w:rFonts w:ascii="Times New Roman" w:hAnsi="Times New Roman"/>
          <w:sz w:val="24"/>
          <w:szCs w:val="24"/>
        </w:rPr>
      </w:pPr>
      <w:r w:rsidRPr="00B02292">
        <w:rPr>
          <w:rFonts w:ascii="Times New Roman" w:hAnsi="Times New Roman"/>
          <w:sz w:val="24"/>
          <w:szCs w:val="24"/>
        </w:rPr>
        <w:t xml:space="preserve">nella misura massima di </w:t>
      </w:r>
      <w:r w:rsidRPr="00B02292">
        <w:rPr>
          <w:rFonts w:ascii="Times New Roman" w:hAnsi="Times New Roman"/>
          <w:b/>
          <w:sz w:val="24"/>
          <w:szCs w:val="24"/>
        </w:rPr>
        <w:t>1</w:t>
      </w:r>
      <w:r w:rsidR="00C500F1" w:rsidRPr="00B02292">
        <w:rPr>
          <w:rFonts w:ascii="Times New Roman" w:hAnsi="Times New Roman"/>
          <w:b/>
          <w:sz w:val="24"/>
          <w:szCs w:val="24"/>
        </w:rPr>
        <w:t>2</w:t>
      </w:r>
      <w:r w:rsidRPr="00B02292">
        <w:rPr>
          <w:rFonts w:ascii="Times New Roman" w:hAnsi="Times New Roman"/>
          <w:b/>
          <w:sz w:val="24"/>
          <w:szCs w:val="24"/>
        </w:rPr>
        <w:t xml:space="preserve"> </w:t>
      </w:r>
      <w:r w:rsidRPr="00B02292">
        <w:rPr>
          <w:rFonts w:ascii="Times New Roman" w:hAnsi="Times New Roman"/>
          <w:sz w:val="24"/>
          <w:szCs w:val="24"/>
        </w:rPr>
        <w:t>punti sotto il profilo dell’efficientamento del servizio.</w:t>
      </w:r>
      <w:r w:rsidRPr="00B02292">
        <w:rPr>
          <w:rFonts w:ascii="Times New Roman" w:eastAsia="Times New Roman" w:hAnsi="Times New Roman"/>
          <w:b/>
          <w:sz w:val="24"/>
          <w:szCs w:val="24"/>
          <w:lang w:eastAsia="zh-CN"/>
        </w:rPr>
        <w:t xml:space="preserve">  </w:t>
      </w:r>
    </w:p>
    <w:p w:rsidR="006306E2" w:rsidRPr="00B02292" w:rsidRDefault="006306E2" w:rsidP="00C85075">
      <w:pPr>
        <w:spacing w:after="0" w:line="240" w:lineRule="auto"/>
        <w:contextualSpacing/>
        <w:jc w:val="both"/>
        <w:rPr>
          <w:rFonts w:ascii="Times New Roman" w:eastAsia="Times New Roman" w:hAnsi="Times New Roman"/>
          <w:sz w:val="24"/>
          <w:szCs w:val="24"/>
          <w:lang w:eastAsia="zh-CN"/>
        </w:rPr>
      </w:pPr>
    </w:p>
    <w:p w:rsidR="006306E2" w:rsidRPr="00B02292" w:rsidRDefault="006306E2" w:rsidP="00C500F1">
      <w:pPr>
        <w:spacing w:after="0" w:line="240" w:lineRule="auto"/>
        <w:ind w:hanging="119"/>
        <w:jc w:val="both"/>
        <w:rPr>
          <w:rFonts w:ascii="Times New Roman" w:eastAsia="Times New Roman" w:hAnsi="Times New Roman"/>
          <w:sz w:val="24"/>
          <w:szCs w:val="24"/>
          <w:lang w:eastAsia="zh-CN"/>
        </w:rPr>
      </w:pPr>
      <w:r w:rsidRPr="00B02292">
        <w:rPr>
          <w:rFonts w:ascii="Times New Roman" w:eastAsia="Times New Roman" w:hAnsi="Times New Roman"/>
          <w:b/>
          <w:sz w:val="24"/>
          <w:szCs w:val="24"/>
          <w:lang w:eastAsia="zh-CN"/>
        </w:rPr>
        <w:t xml:space="preserve">D.1.1) </w:t>
      </w:r>
      <w:r w:rsidR="00C500F1" w:rsidRPr="00B02292">
        <w:rPr>
          <w:rFonts w:ascii="Times New Roman" w:eastAsia="Times New Roman" w:hAnsi="Times New Roman"/>
          <w:b/>
          <w:sz w:val="24"/>
          <w:szCs w:val="24"/>
          <w:lang w:eastAsia="zh-CN" w:bidi="it-IT"/>
        </w:rPr>
        <w:t>D.1.1. Maggiori risorse di personale</w:t>
      </w:r>
      <w:r w:rsidR="00C500F1" w:rsidRPr="00B02292">
        <w:rPr>
          <w:rFonts w:ascii="Times New Roman" w:eastAsia="Times New Roman" w:hAnsi="Times New Roman"/>
          <w:b/>
          <w:sz w:val="24"/>
          <w:szCs w:val="24"/>
          <w:lang w:eastAsia="zh-CN"/>
        </w:rPr>
        <w:t xml:space="preserve"> </w:t>
      </w:r>
      <w:r w:rsidRPr="00B02292">
        <w:rPr>
          <w:rFonts w:ascii="Times New Roman" w:eastAsia="Times New Roman" w:hAnsi="Times New Roman"/>
          <w:sz w:val="24"/>
          <w:szCs w:val="24"/>
          <w:lang w:eastAsia="zh-CN"/>
        </w:rPr>
        <w:t>(</w:t>
      </w:r>
      <w:proofErr w:type="spellStart"/>
      <w:r w:rsidRPr="00B02292">
        <w:rPr>
          <w:rFonts w:ascii="Times New Roman" w:eastAsia="Times New Roman" w:hAnsi="Times New Roman"/>
          <w:b/>
          <w:sz w:val="24"/>
          <w:szCs w:val="24"/>
          <w:lang w:eastAsia="zh-CN"/>
        </w:rPr>
        <w:t>max</w:t>
      </w:r>
      <w:proofErr w:type="spellEnd"/>
      <w:r w:rsidRPr="00B02292">
        <w:rPr>
          <w:rFonts w:ascii="Times New Roman" w:eastAsia="Times New Roman" w:hAnsi="Times New Roman"/>
          <w:b/>
          <w:sz w:val="24"/>
          <w:szCs w:val="24"/>
          <w:lang w:eastAsia="zh-CN"/>
        </w:rPr>
        <w:t xml:space="preserve"> 3</w:t>
      </w:r>
      <w:r w:rsidR="00C500F1" w:rsidRPr="00B02292">
        <w:rPr>
          <w:rFonts w:ascii="Times New Roman" w:eastAsia="Times New Roman" w:hAnsi="Times New Roman"/>
          <w:b/>
          <w:sz w:val="24"/>
          <w:szCs w:val="24"/>
          <w:lang w:eastAsia="zh-CN"/>
        </w:rPr>
        <w:t>4</w:t>
      </w:r>
      <w:r w:rsidRPr="00B02292">
        <w:rPr>
          <w:rFonts w:ascii="Times New Roman" w:eastAsia="Times New Roman" w:hAnsi="Times New Roman"/>
          <w:b/>
          <w:sz w:val="24"/>
          <w:szCs w:val="24"/>
          <w:lang w:eastAsia="zh-CN"/>
        </w:rPr>
        <w:t xml:space="preserve"> punti</w:t>
      </w:r>
      <w:r w:rsidRPr="00B02292">
        <w:rPr>
          <w:rFonts w:ascii="Times New Roman" w:eastAsia="Times New Roman" w:hAnsi="Times New Roman"/>
          <w:sz w:val="24"/>
          <w:szCs w:val="24"/>
          <w:lang w:eastAsia="zh-CN"/>
        </w:rPr>
        <w:t xml:space="preserve">) </w:t>
      </w:r>
    </w:p>
    <w:p w:rsidR="006306E2" w:rsidRPr="00B02292" w:rsidRDefault="006306E2" w:rsidP="00C85075">
      <w:pPr>
        <w:spacing w:after="0" w:line="240" w:lineRule="auto"/>
        <w:ind w:hanging="119"/>
        <w:jc w:val="both"/>
        <w:rPr>
          <w:rFonts w:ascii="Times New Roman" w:eastAsia="Times New Roman" w:hAnsi="Times New Roman"/>
          <w:b/>
          <w:sz w:val="24"/>
          <w:szCs w:val="24"/>
          <w:lang w:eastAsia="zh-CN"/>
        </w:rPr>
      </w:pPr>
      <w:r w:rsidRPr="00B02292">
        <w:rPr>
          <w:rFonts w:ascii="Times New Roman" w:eastAsia="Times New Roman" w:hAnsi="Times New Roman"/>
          <w:b/>
          <w:sz w:val="24"/>
          <w:szCs w:val="24"/>
          <w:lang w:eastAsia="zh-CN"/>
        </w:rPr>
        <w:t xml:space="preserve">Incremento dotazione personale fino a un massimo di </w:t>
      </w:r>
      <w:r w:rsidR="00C500F1" w:rsidRPr="00B02292">
        <w:rPr>
          <w:rFonts w:ascii="Times New Roman" w:eastAsia="Times New Roman" w:hAnsi="Times New Roman"/>
          <w:b/>
          <w:sz w:val="24"/>
          <w:szCs w:val="24"/>
          <w:lang w:eastAsia="zh-CN"/>
        </w:rPr>
        <w:t>12</w:t>
      </w:r>
      <w:r w:rsidRPr="00B02292">
        <w:rPr>
          <w:rFonts w:ascii="Times New Roman" w:eastAsia="Times New Roman" w:hAnsi="Times New Roman"/>
          <w:b/>
          <w:sz w:val="24"/>
          <w:szCs w:val="24"/>
          <w:lang w:eastAsia="zh-CN"/>
        </w:rPr>
        <w:t xml:space="preserve"> punti. </w:t>
      </w:r>
    </w:p>
    <w:p w:rsidR="00C500F1" w:rsidRPr="00B02292" w:rsidRDefault="00C500F1" w:rsidP="00C85075">
      <w:pPr>
        <w:spacing w:after="0" w:line="240" w:lineRule="auto"/>
        <w:ind w:hanging="119"/>
        <w:jc w:val="both"/>
        <w:rPr>
          <w:rFonts w:ascii="Times New Roman" w:eastAsia="Times New Roman" w:hAnsi="Times New Roman"/>
          <w:b/>
          <w:sz w:val="24"/>
          <w:szCs w:val="24"/>
          <w:lang w:eastAsia="zh-CN"/>
        </w:rPr>
      </w:pPr>
    </w:p>
    <w:p w:rsidR="00C500F1" w:rsidRPr="00B02292" w:rsidRDefault="00C500F1" w:rsidP="00C500F1">
      <w:pPr>
        <w:widowControl w:val="0"/>
        <w:autoSpaceDE w:val="0"/>
        <w:autoSpaceDN w:val="0"/>
        <w:contextualSpacing/>
        <w:mirrorIndents/>
        <w:jc w:val="both"/>
        <w:rPr>
          <w:rFonts w:ascii="Times New Roman" w:eastAsia="Arial" w:hAnsi="Times New Roman"/>
          <w:sz w:val="24"/>
          <w:szCs w:val="24"/>
          <w:lang w:bidi="it-IT"/>
        </w:rPr>
      </w:pPr>
      <w:r w:rsidRPr="00B02292">
        <w:rPr>
          <w:rFonts w:ascii="Times New Roman" w:eastAsia="Arial" w:hAnsi="Times New Roman"/>
          <w:b/>
          <w:sz w:val="24"/>
          <w:szCs w:val="24"/>
          <w:lang w:bidi="it-IT"/>
        </w:rPr>
        <w:t>a)</w:t>
      </w:r>
      <w:r w:rsidRPr="00B02292">
        <w:rPr>
          <w:rFonts w:ascii="Times New Roman" w:eastAsia="Arial" w:hAnsi="Times New Roman"/>
          <w:sz w:val="24"/>
          <w:szCs w:val="24"/>
          <w:lang w:bidi="it-IT"/>
        </w:rPr>
        <w:t xml:space="preserve"> tenuto conto del criterio di commisurazione del rapporto minimo ospiti/operatori diurni e/o notturni indicato nella tabella dotazione minima del personale (Allegato A del capitolato), ogni incremento di 1 unità che superi il predetto rapporto, comporta l’attribuzione di 4,00 punti;</w:t>
      </w:r>
    </w:p>
    <w:tbl>
      <w:tblPr>
        <w:tblpPr w:leftFromText="141" w:rightFromText="141" w:vertAnchor="text" w:horzAnchor="page" w:tblpX="1185" w:tblpY="135"/>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66"/>
        <w:gridCol w:w="2332"/>
      </w:tblGrid>
      <w:tr w:rsidR="006306E2" w:rsidRPr="00B02292" w:rsidTr="00C60486">
        <w:trPr>
          <w:trHeight w:val="270"/>
        </w:trPr>
        <w:tc>
          <w:tcPr>
            <w:tcW w:w="7366"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Mansioni - descrizione</w:t>
            </w:r>
          </w:p>
        </w:tc>
        <w:tc>
          <w:tcPr>
            <w:tcW w:w="2332" w:type="dxa"/>
            <w:shd w:val="clear" w:color="auto" w:fill="auto"/>
            <w:noWrap/>
            <w:vAlign w:val="bottom"/>
          </w:tcPr>
          <w:p w:rsidR="006306E2" w:rsidRPr="00B02292" w:rsidRDefault="006306E2" w:rsidP="009C4888">
            <w:pPr>
              <w:spacing w:after="0" w:line="240" w:lineRule="auto"/>
              <w:jc w:val="both"/>
              <w:rPr>
                <w:rFonts w:ascii="Times New Roman" w:eastAsia="Times New Roman" w:hAnsi="Times New Roman"/>
                <w:sz w:val="24"/>
                <w:szCs w:val="24"/>
              </w:rPr>
            </w:pPr>
            <w:r w:rsidRPr="00B02292">
              <w:rPr>
                <w:rFonts w:ascii="Times New Roman" w:eastAsia="Times New Roman" w:hAnsi="Times New Roman"/>
                <w:sz w:val="24"/>
                <w:szCs w:val="24"/>
              </w:rPr>
              <w:t>Nr. unità incrementali</w:t>
            </w:r>
          </w:p>
        </w:tc>
      </w:tr>
      <w:tr w:rsidR="006306E2" w:rsidRPr="00B02292" w:rsidTr="00C60486">
        <w:trPr>
          <w:trHeight w:val="255"/>
        </w:trPr>
        <w:tc>
          <w:tcPr>
            <w:tcW w:w="7366"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6306E2" w:rsidRPr="00B02292" w:rsidTr="00C60486">
        <w:trPr>
          <w:trHeight w:val="255"/>
        </w:trPr>
        <w:tc>
          <w:tcPr>
            <w:tcW w:w="7366"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xml:space="preserve">  </w:t>
            </w:r>
          </w:p>
        </w:tc>
        <w:tc>
          <w:tcPr>
            <w:tcW w:w="2332"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6306E2" w:rsidRPr="00B02292" w:rsidTr="00C60486">
        <w:trPr>
          <w:trHeight w:val="255"/>
        </w:trPr>
        <w:tc>
          <w:tcPr>
            <w:tcW w:w="7366"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p>
        </w:tc>
      </w:tr>
      <w:tr w:rsidR="006306E2" w:rsidRPr="00B02292" w:rsidTr="00C60486">
        <w:trPr>
          <w:trHeight w:val="255"/>
        </w:trPr>
        <w:tc>
          <w:tcPr>
            <w:tcW w:w="7366"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6306E2" w:rsidRPr="00B02292" w:rsidRDefault="006306E2" w:rsidP="00C85075">
            <w:pPr>
              <w:spacing w:after="0" w:line="240" w:lineRule="auto"/>
              <w:ind w:left="213"/>
              <w:jc w:val="both"/>
              <w:rPr>
                <w:rFonts w:ascii="Times New Roman" w:eastAsia="Times New Roman" w:hAnsi="Times New Roman"/>
                <w:sz w:val="24"/>
                <w:szCs w:val="24"/>
              </w:rPr>
            </w:pPr>
          </w:p>
        </w:tc>
      </w:tr>
    </w:tbl>
    <w:tbl>
      <w:tblPr>
        <w:tblW w:w="9747" w:type="dxa"/>
        <w:tblInd w:w="-108" w:type="dxa"/>
        <w:tblBorders>
          <w:top w:val="nil"/>
          <w:left w:val="nil"/>
          <w:bottom w:val="nil"/>
          <w:right w:val="nil"/>
        </w:tblBorders>
        <w:tblLayout w:type="fixed"/>
        <w:tblLook w:val="0000" w:firstRow="0" w:lastRow="0" w:firstColumn="0" w:lastColumn="0" w:noHBand="0" w:noVBand="0"/>
      </w:tblPr>
      <w:tblGrid>
        <w:gridCol w:w="4644"/>
        <w:gridCol w:w="2309"/>
        <w:gridCol w:w="2794"/>
      </w:tblGrid>
      <w:tr w:rsidR="00C60486" w:rsidRPr="00B02292" w:rsidTr="00C60486">
        <w:trPr>
          <w:trHeight w:val="396"/>
        </w:trPr>
        <w:tc>
          <w:tcPr>
            <w:tcW w:w="9747" w:type="dxa"/>
            <w:gridSpan w:val="3"/>
          </w:tcPr>
          <w:p w:rsidR="00C60486" w:rsidRPr="00B02292" w:rsidRDefault="00C60486" w:rsidP="00C60486">
            <w:pPr>
              <w:widowControl w:val="0"/>
              <w:autoSpaceDE w:val="0"/>
              <w:autoSpaceDN w:val="0"/>
              <w:contextualSpacing/>
              <w:mirrorIndents/>
              <w:jc w:val="both"/>
              <w:rPr>
                <w:rFonts w:ascii="Times New Roman" w:eastAsia="Arial" w:hAnsi="Times New Roman"/>
                <w:b/>
                <w:sz w:val="24"/>
                <w:szCs w:val="24"/>
                <w:lang w:bidi="it-IT"/>
              </w:rPr>
            </w:pPr>
          </w:p>
          <w:p w:rsidR="00C60486" w:rsidRPr="00B02292" w:rsidRDefault="00C60486" w:rsidP="00C60486">
            <w:pPr>
              <w:widowControl w:val="0"/>
              <w:autoSpaceDE w:val="0"/>
              <w:autoSpaceDN w:val="0"/>
              <w:contextualSpacing/>
              <w:mirrorIndents/>
              <w:jc w:val="both"/>
              <w:rPr>
                <w:rFonts w:ascii="Times New Roman" w:eastAsia="Arial" w:hAnsi="Times New Roman"/>
                <w:b/>
                <w:sz w:val="24"/>
                <w:szCs w:val="24"/>
                <w:lang w:bidi="it-IT"/>
              </w:rPr>
            </w:pPr>
            <w:r w:rsidRPr="00B02292">
              <w:rPr>
                <w:rFonts w:ascii="Times New Roman" w:eastAsia="Arial" w:hAnsi="Times New Roman"/>
                <w:b/>
                <w:sz w:val="24"/>
                <w:szCs w:val="24"/>
                <w:lang w:bidi="it-IT"/>
              </w:rPr>
              <w:t>Incremento ore settimanali fino ad un massimo di [12] punti. In particolare:</w:t>
            </w:r>
          </w:p>
          <w:p w:rsidR="00C60486" w:rsidRPr="00B02292" w:rsidRDefault="00C60486" w:rsidP="00C60486">
            <w:pPr>
              <w:widowControl w:val="0"/>
              <w:autoSpaceDE w:val="0"/>
              <w:autoSpaceDN w:val="0"/>
              <w:contextualSpacing/>
              <w:mirrorIndents/>
              <w:jc w:val="both"/>
              <w:rPr>
                <w:rFonts w:ascii="Times New Roman" w:eastAsia="Arial" w:hAnsi="Times New Roman"/>
                <w:sz w:val="24"/>
                <w:szCs w:val="24"/>
                <w:lang w:bidi="it-IT"/>
              </w:rPr>
            </w:pPr>
            <w:r w:rsidRPr="00B02292">
              <w:rPr>
                <w:rFonts w:ascii="Times New Roman" w:eastAsia="Arial" w:hAnsi="Times New Roman"/>
                <w:b/>
                <w:sz w:val="24"/>
                <w:szCs w:val="24"/>
                <w:lang w:bidi="it-IT"/>
              </w:rPr>
              <w:t>b</w:t>
            </w:r>
            <w:r w:rsidRPr="00B02292">
              <w:rPr>
                <w:rFonts w:ascii="Times New Roman" w:eastAsia="Arial" w:hAnsi="Times New Roman"/>
                <w:sz w:val="24"/>
                <w:szCs w:val="24"/>
                <w:lang w:bidi="it-IT"/>
              </w:rPr>
              <w:t xml:space="preserve">) per </w:t>
            </w:r>
            <w:r w:rsidRPr="00B02292">
              <w:rPr>
                <w:rFonts w:ascii="Times New Roman" w:hAnsi="Times New Roman"/>
                <w:sz w:val="24"/>
                <w:szCs w:val="24"/>
              </w:rPr>
              <w:t xml:space="preserve">i servizi di direzione, mediazione culturale, assistenza sanitaria e amministrativo, che nella tabella dotazione personale sono misurati in ore settimanali, ogni incremento di un’ora comporta l’attribuzione di 1 punto, per un massimo di </w:t>
            </w:r>
            <w:proofErr w:type="gramStart"/>
            <w:r w:rsidRPr="00B02292">
              <w:rPr>
                <w:rFonts w:ascii="Times New Roman" w:hAnsi="Times New Roman"/>
                <w:sz w:val="24"/>
                <w:szCs w:val="24"/>
              </w:rPr>
              <w:t>3  punti</w:t>
            </w:r>
            <w:proofErr w:type="gramEnd"/>
            <w:r w:rsidRPr="00B02292">
              <w:rPr>
                <w:rFonts w:ascii="Times New Roman" w:hAnsi="Times New Roman"/>
                <w:sz w:val="24"/>
                <w:szCs w:val="24"/>
              </w:rPr>
              <w:t xml:space="preserve"> per ciascun servizio.</w:t>
            </w:r>
          </w:p>
          <w:tbl>
            <w:tblPr>
              <w:tblpPr w:leftFromText="141" w:rightFromText="141" w:vertAnchor="text" w:horzAnchor="page" w:tblpX="1185" w:tblpY="135"/>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66"/>
              <w:gridCol w:w="2332"/>
            </w:tblGrid>
            <w:tr w:rsidR="00C60486" w:rsidRPr="00B02292" w:rsidTr="00EC3B57">
              <w:trPr>
                <w:trHeight w:val="270"/>
              </w:trPr>
              <w:tc>
                <w:tcPr>
                  <w:tcW w:w="7366"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Mansioni - descrizione</w:t>
                  </w:r>
                </w:p>
              </w:tc>
              <w:tc>
                <w:tcPr>
                  <w:tcW w:w="2332" w:type="dxa"/>
                  <w:shd w:val="clear" w:color="auto" w:fill="auto"/>
                  <w:noWrap/>
                  <w:vAlign w:val="bottom"/>
                </w:tcPr>
                <w:p w:rsidR="00C60486" w:rsidRPr="00B02292" w:rsidRDefault="00C60486" w:rsidP="00C60486">
                  <w:pPr>
                    <w:spacing w:after="0" w:line="240" w:lineRule="auto"/>
                    <w:jc w:val="both"/>
                    <w:rPr>
                      <w:rFonts w:ascii="Times New Roman" w:eastAsia="Times New Roman" w:hAnsi="Times New Roman"/>
                      <w:sz w:val="24"/>
                      <w:szCs w:val="24"/>
                    </w:rPr>
                  </w:pPr>
                  <w:r w:rsidRPr="00B02292">
                    <w:rPr>
                      <w:rFonts w:ascii="Times New Roman" w:eastAsia="Times New Roman" w:hAnsi="Times New Roman"/>
                      <w:sz w:val="24"/>
                      <w:szCs w:val="24"/>
                    </w:rPr>
                    <w:t xml:space="preserve">Nr. </w:t>
                  </w:r>
                  <w:proofErr w:type="gramStart"/>
                  <w:r w:rsidRPr="00B02292">
                    <w:rPr>
                      <w:rFonts w:ascii="Times New Roman" w:eastAsia="Times New Roman" w:hAnsi="Times New Roman"/>
                      <w:sz w:val="24"/>
                      <w:szCs w:val="24"/>
                    </w:rPr>
                    <w:t>ore  incrementate</w:t>
                  </w:r>
                  <w:proofErr w:type="gramEnd"/>
                </w:p>
              </w:tc>
            </w:tr>
            <w:tr w:rsidR="00C60486" w:rsidRPr="00B02292" w:rsidTr="00EC3B57">
              <w:trPr>
                <w:trHeight w:val="255"/>
              </w:trPr>
              <w:tc>
                <w:tcPr>
                  <w:tcW w:w="7366"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C60486" w:rsidRPr="00B02292" w:rsidTr="00EC3B57">
              <w:trPr>
                <w:trHeight w:val="255"/>
              </w:trPr>
              <w:tc>
                <w:tcPr>
                  <w:tcW w:w="7366"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xml:space="preserve">  </w:t>
                  </w:r>
                </w:p>
              </w:tc>
              <w:tc>
                <w:tcPr>
                  <w:tcW w:w="2332"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C60486" w:rsidRPr="00B02292" w:rsidTr="00EC3B57">
              <w:trPr>
                <w:trHeight w:val="255"/>
              </w:trPr>
              <w:tc>
                <w:tcPr>
                  <w:tcW w:w="7366"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p>
              </w:tc>
            </w:tr>
            <w:tr w:rsidR="00C60486" w:rsidRPr="00B02292" w:rsidTr="00EC3B57">
              <w:trPr>
                <w:trHeight w:val="255"/>
              </w:trPr>
              <w:tc>
                <w:tcPr>
                  <w:tcW w:w="7366"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C60486" w:rsidRPr="00B02292" w:rsidRDefault="00C60486" w:rsidP="00C60486">
                  <w:pPr>
                    <w:spacing w:after="0" w:line="240" w:lineRule="auto"/>
                    <w:ind w:left="213"/>
                    <w:jc w:val="both"/>
                    <w:rPr>
                      <w:rFonts w:ascii="Times New Roman" w:eastAsia="Times New Roman" w:hAnsi="Times New Roman"/>
                      <w:sz w:val="24"/>
                      <w:szCs w:val="24"/>
                    </w:rPr>
                  </w:pPr>
                </w:p>
              </w:tc>
            </w:tr>
          </w:tbl>
          <w:p w:rsidR="00C60486" w:rsidRPr="00B02292" w:rsidRDefault="00C60486" w:rsidP="00C60486">
            <w:pPr>
              <w:widowControl w:val="0"/>
              <w:autoSpaceDE w:val="0"/>
              <w:autoSpaceDN w:val="0"/>
              <w:contextualSpacing/>
              <w:mirrorIndents/>
              <w:jc w:val="both"/>
              <w:rPr>
                <w:rFonts w:ascii="Times New Roman" w:eastAsia="Arial" w:hAnsi="Times New Roman"/>
                <w:sz w:val="24"/>
                <w:szCs w:val="24"/>
                <w:lang w:bidi="it-IT"/>
              </w:rPr>
            </w:pPr>
          </w:p>
          <w:p w:rsidR="00C60486" w:rsidRPr="00B02292" w:rsidRDefault="00B736C7" w:rsidP="00C60486">
            <w:pPr>
              <w:widowControl w:val="0"/>
              <w:autoSpaceDE w:val="0"/>
              <w:autoSpaceDN w:val="0"/>
              <w:contextualSpacing/>
              <w:mirrorIndents/>
              <w:jc w:val="both"/>
              <w:rPr>
                <w:rFonts w:ascii="Times New Roman" w:eastAsia="Arial" w:hAnsi="Times New Roman"/>
                <w:sz w:val="24"/>
                <w:szCs w:val="24"/>
                <w:lang w:bidi="it-IT"/>
              </w:rPr>
            </w:pPr>
            <w:r w:rsidRPr="00B02292">
              <w:rPr>
                <w:rFonts w:ascii="Times New Roman" w:eastAsia="Arial" w:hAnsi="Times New Roman"/>
                <w:b/>
                <w:sz w:val="24"/>
                <w:szCs w:val="24"/>
                <w:lang w:bidi="it-IT"/>
              </w:rPr>
              <w:t>Individuazione responsabili di settore fino ad un massimo di [5] punti</w:t>
            </w:r>
            <w:r w:rsidRPr="00B02292">
              <w:rPr>
                <w:rFonts w:ascii="Times New Roman" w:eastAsia="Arial" w:hAnsi="Times New Roman"/>
                <w:sz w:val="24"/>
                <w:szCs w:val="24"/>
                <w:lang w:bidi="it-IT"/>
              </w:rPr>
              <w:t>:</w:t>
            </w:r>
          </w:p>
          <w:p w:rsidR="00C60486" w:rsidRPr="00B02292" w:rsidRDefault="00B736C7" w:rsidP="009C4888">
            <w:pPr>
              <w:widowControl w:val="0"/>
              <w:autoSpaceDE w:val="0"/>
              <w:autoSpaceDN w:val="0"/>
              <w:contextualSpacing/>
              <w:mirrorIndents/>
              <w:jc w:val="both"/>
              <w:rPr>
                <w:rFonts w:ascii="Times New Roman" w:eastAsia="Arial" w:hAnsi="Times New Roman"/>
                <w:sz w:val="24"/>
                <w:szCs w:val="24"/>
                <w:lang w:bidi="it-IT"/>
              </w:rPr>
            </w:pPr>
            <w:r w:rsidRPr="00B02292">
              <w:rPr>
                <w:rFonts w:ascii="Times New Roman" w:eastAsia="Arial" w:hAnsi="Times New Roman"/>
                <w:b/>
                <w:sz w:val="24"/>
                <w:szCs w:val="24"/>
                <w:lang w:bidi="it-IT"/>
              </w:rPr>
              <w:t>c)</w:t>
            </w:r>
            <w:r w:rsidRPr="00B02292">
              <w:rPr>
                <w:rFonts w:ascii="Times New Roman" w:eastAsia="Arial" w:hAnsi="Times New Roman"/>
                <w:sz w:val="24"/>
                <w:szCs w:val="24"/>
                <w:lang w:bidi="it-IT"/>
              </w:rPr>
              <w:t xml:space="preserve"> 1,20 punti sono attribuiti per l’eventuale individuazione di un responsabile per ogni settore organizzativo all’interno del centro, quali accoglienza ospiti, assistenza sanitaria, mediazione culturale e gestione forniture, con compiti di raccordo con il responsabile del centro. Il punteggio può essere attribuito solo ove risulti effettivamente destinata tale unità di personale agli specifici compiti descritti, rimanendo esclusa la cumulabilità per una sola persona di più punti riferiti ai diversi profili della qualità del servizio qui considerata.</w:t>
            </w:r>
          </w:p>
        </w:tc>
      </w:tr>
      <w:tr w:rsidR="009C4888" w:rsidRPr="00B02292" w:rsidTr="008B4E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522"/>
        </w:trPr>
        <w:tc>
          <w:tcPr>
            <w:tcW w:w="4644" w:type="dxa"/>
            <w:shd w:val="clear" w:color="auto" w:fill="auto"/>
            <w:noWrap/>
          </w:tcPr>
          <w:tbl>
            <w:tblPr>
              <w:tblpPr w:leftFromText="141" w:rightFromText="141" w:vertAnchor="text" w:horzAnchor="page" w:tblpX="1185" w:tblpY="135"/>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66"/>
              <w:gridCol w:w="2332"/>
            </w:tblGrid>
            <w:tr w:rsidR="009C4888" w:rsidRPr="00B02292" w:rsidTr="003B16F6">
              <w:trPr>
                <w:trHeight w:val="270"/>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Mansioni - descrizione</w:t>
                  </w:r>
                </w:p>
              </w:tc>
              <w:tc>
                <w:tcPr>
                  <w:tcW w:w="2332" w:type="dxa"/>
                  <w:shd w:val="clear" w:color="auto" w:fill="auto"/>
                  <w:noWrap/>
                  <w:vAlign w:val="bottom"/>
                </w:tcPr>
                <w:p w:rsidR="009C4888" w:rsidRPr="00B02292" w:rsidRDefault="009C4888" w:rsidP="009C4888">
                  <w:pPr>
                    <w:spacing w:after="0" w:line="240" w:lineRule="auto"/>
                    <w:jc w:val="both"/>
                    <w:rPr>
                      <w:rFonts w:ascii="Times New Roman" w:eastAsia="Times New Roman" w:hAnsi="Times New Roman"/>
                      <w:sz w:val="24"/>
                      <w:szCs w:val="24"/>
                    </w:rPr>
                  </w:pPr>
                  <w:r w:rsidRPr="00B02292">
                    <w:rPr>
                      <w:rFonts w:ascii="Times New Roman" w:eastAsia="Times New Roman" w:hAnsi="Times New Roman"/>
                      <w:sz w:val="24"/>
                      <w:szCs w:val="24"/>
                    </w:rPr>
                    <w:t>Nr. unità incrementali</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Arial" w:hAnsi="Times New Roman"/>
                      <w:sz w:val="24"/>
                      <w:szCs w:val="24"/>
                      <w:lang w:bidi="it-IT"/>
                    </w:rPr>
                    <w:t>accoglienza ospiti</w:t>
                  </w: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r w:rsidRPr="00B02292">
                    <w:rPr>
                      <w:rFonts w:ascii="Times New Roman" w:eastAsia="Arial" w:hAnsi="Times New Roman"/>
                      <w:sz w:val="24"/>
                      <w:szCs w:val="24"/>
                      <w:lang w:bidi="it-IT"/>
                    </w:rPr>
                    <w:t>assistenza sanitaria</w:t>
                  </w: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Arial" w:hAnsi="Times New Roman"/>
                      <w:sz w:val="24"/>
                      <w:szCs w:val="24"/>
                      <w:lang w:bidi="it-IT"/>
                    </w:rPr>
                    <w:t>mediazione culturale</w:t>
                  </w: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Arial" w:hAnsi="Times New Roman"/>
                      <w:sz w:val="24"/>
                      <w:szCs w:val="24"/>
                      <w:lang w:bidi="it-IT"/>
                    </w:rPr>
                    <w:t>gestione forniture</w:t>
                  </w: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r>
          </w:tbl>
          <w:p w:rsidR="009C4888" w:rsidRPr="00B02292" w:rsidRDefault="009C4888" w:rsidP="009C4888">
            <w:pPr>
              <w:rPr>
                <w:rFonts w:ascii="Times New Roman" w:hAnsi="Times New Roman"/>
                <w:sz w:val="24"/>
                <w:szCs w:val="24"/>
              </w:rPr>
            </w:pPr>
          </w:p>
        </w:tc>
        <w:tc>
          <w:tcPr>
            <w:tcW w:w="2309" w:type="dxa"/>
            <w:shd w:val="clear" w:color="auto" w:fill="auto"/>
            <w:noWrap/>
          </w:tcPr>
          <w:tbl>
            <w:tblPr>
              <w:tblpPr w:leftFromText="141" w:rightFromText="141" w:vertAnchor="text" w:horzAnchor="page" w:tblpX="1185" w:tblpY="135"/>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66"/>
              <w:gridCol w:w="2332"/>
            </w:tblGrid>
            <w:tr w:rsidR="009C4888" w:rsidRPr="00B02292" w:rsidTr="003B16F6">
              <w:trPr>
                <w:trHeight w:val="270"/>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jc w:val="both"/>
                    <w:rPr>
                      <w:rFonts w:ascii="Times New Roman" w:eastAsia="Times New Roman" w:hAnsi="Times New Roman"/>
                      <w:sz w:val="24"/>
                      <w:szCs w:val="24"/>
                    </w:rPr>
                  </w:pPr>
                  <w:r w:rsidRPr="00B02292">
                    <w:rPr>
                      <w:rFonts w:ascii="Times New Roman" w:eastAsia="Times New Roman" w:hAnsi="Times New Roman"/>
                      <w:sz w:val="24"/>
                      <w:szCs w:val="24"/>
                    </w:rPr>
                    <w:t>Nr. unità incrementali</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xml:space="preserve">  </w:t>
                  </w: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r>
          </w:tbl>
          <w:p w:rsidR="009C4888" w:rsidRPr="00B02292" w:rsidRDefault="009C4888" w:rsidP="009C4888">
            <w:pPr>
              <w:rPr>
                <w:rFonts w:ascii="Times New Roman" w:hAnsi="Times New Roman"/>
                <w:sz w:val="24"/>
                <w:szCs w:val="24"/>
              </w:rPr>
            </w:pPr>
          </w:p>
        </w:tc>
        <w:tc>
          <w:tcPr>
            <w:tcW w:w="2794" w:type="dxa"/>
          </w:tcPr>
          <w:tbl>
            <w:tblPr>
              <w:tblpPr w:leftFromText="141" w:rightFromText="141" w:vertAnchor="text" w:horzAnchor="page" w:tblpX="1185" w:tblpY="135"/>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66"/>
              <w:gridCol w:w="2332"/>
            </w:tblGrid>
            <w:tr w:rsidR="009C4888" w:rsidRPr="00B02292" w:rsidTr="003B16F6">
              <w:trPr>
                <w:trHeight w:val="270"/>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jc w:val="both"/>
                    <w:rPr>
                      <w:rFonts w:ascii="Times New Roman" w:eastAsia="Times New Roman" w:hAnsi="Times New Roman"/>
                      <w:sz w:val="24"/>
                      <w:szCs w:val="24"/>
                    </w:rPr>
                  </w:pPr>
                  <w:r w:rsidRPr="00B02292">
                    <w:rPr>
                      <w:rFonts w:ascii="Times New Roman" w:eastAsia="Times New Roman" w:hAnsi="Times New Roman"/>
                      <w:sz w:val="24"/>
                      <w:szCs w:val="24"/>
                    </w:rPr>
                    <w:t>Nr. unità incrementali</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xml:space="preserve">  </w:t>
                  </w: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r w:rsidRPr="00B02292">
                    <w:rPr>
                      <w:rFonts w:ascii="Times New Roman" w:eastAsia="Times New Roman" w:hAnsi="Times New Roman"/>
                      <w:sz w:val="24"/>
                      <w:szCs w:val="24"/>
                    </w:rPr>
                    <w:t> </w:t>
                  </w:r>
                </w:p>
              </w:tc>
            </w:tr>
            <w:tr w:rsidR="009C4888" w:rsidRPr="00B02292" w:rsidTr="003B16F6">
              <w:trPr>
                <w:trHeight w:val="255"/>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r>
            <w:tr w:rsidR="009C4888" w:rsidRPr="00B02292" w:rsidTr="009C4888">
              <w:trPr>
                <w:trHeight w:val="274"/>
              </w:trPr>
              <w:tc>
                <w:tcPr>
                  <w:tcW w:w="7366"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c>
                <w:tcPr>
                  <w:tcW w:w="2332" w:type="dxa"/>
                  <w:shd w:val="clear" w:color="auto" w:fill="auto"/>
                  <w:noWrap/>
                  <w:vAlign w:val="bottom"/>
                </w:tcPr>
                <w:p w:rsidR="009C4888" w:rsidRPr="00B02292" w:rsidRDefault="009C4888" w:rsidP="009C4888">
                  <w:pPr>
                    <w:spacing w:after="0" w:line="240" w:lineRule="auto"/>
                    <w:ind w:left="213"/>
                    <w:jc w:val="both"/>
                    <w:rPr>
                      <w:rFonts w:ascii="Times New Roman" w:eastAsia="Times New Roman" w:hAnsi="Times New Roman"/>
                      <w:sz w:val="24"/>
                      <w:szCs w:val="24"/>
                    </w:rPr>
                  </w:pPr>
                </w:p>
              </w:tc>
            </w:tr>
          </w:tbl>
          <w:p w:rsidR="009C4888" w:rsidRPr="00B02292" w:rsidRDefault="009C4888" w:rsidP="009C4888">
            <w:pPr>
              <w:rPr>
                <w:rFonts w:ascii="Times New Roman" w:hAnsi="Times New Roman"/>
                <w:sz w:val="24"/>
                <w:szCs w:val="24"/>
              </w:rPr>
            </w:pPr>
          </w:p>
        </w:tc>
      </w:tr>
    </w:tbl>
    <w:p w:rsidR="006306E2" w:rsidRPr="00B02292" w:rsidRDefault="006306E2" w:rsidP="00C85075">
      <w:pPr>
        <w:spacing w:after="0" w:line="240" w:lineRule="auto"/>
        <w:jc w:val="both"/>
        <w:rPr>
          <w:rFonts w:ascii="Times New Roman" w:eastAsia="Times New Roman" w:hAnsi="Times New Roman"/>
          <w:b/>
          <w:sz w:val="24"/>
          <w:szCs w:val="24"/>
          <w:highlight w:val="red"/>
          <w:lang w:eastAsia="zh-CN"/>
        </w:rPr>
      </w:pPr>
    </w:p>
    <w:p w:rsidR="00EB2828" w:rsidRPr="00B02292" w:rsidRDefault="00EB2828" w:rsidP="00C85075">
      <w:pPr>
        <w:spacing w:after="0" w:line="240" w:lineRule="auto"/>
        <w:jc w:val="both"/>
        <w:rPr>
          <w:rFonts w:ascii="Times New Roman" w:eastAsia="Arial" w:hAnsi="Times New Roman"/>
          <w:b/>
          <w:sz w:val="24"/>
          <w:szCs w:val="24"/>
          <w:lang w:bidi="it-IT"/>
        </w:rPr>
      </w:pPr>
    </w:p>
    <w:p w:rsidR="00EB2828" w:rsidRPr="00B02292" w:rsidRDefault="00EB2828" w:rsidP="00507839">
      <w:pPr>
        <w:spacing w:after="0" w:line="240" w:lineRule="auto"/>
        <w:ind w:hanging="119"/>
        <w:jc w:val="both"/>
        <w:rPr>
          <w:rFonts w:ascii="Times New Roman" w:eastAsia="Arial" w:hAnsi="Times New Roman"/>
          <w:sz w:val="24"/>
          <w:szCs w:val="24"/>
        </w:rPr>
      </w:pPr>
    </w:p>
    <w:p w:rsidR="00EB2828" w:rsidRPr="00B02292" w:rsidRDefault="00EB2828" w:rsidP="00507839">
      <w:pPr>
        <w:spacing w:after="0" w:line="240" w:lineRule="auto"/>
        <w:ind w:hanging="119"/>
        <w:jc w:val="both"/>
        <w:rPr>
          <w:rFonts w:ascii="Times New Roman" w:eastAsia="Arial" w:hAnsi="Times New Roman"/>
          <w:sz w:val="24"/>
          <w:szCs w:val="24"/>
        </w:rPr>
      </w:pPr>
    </w:p>
    <w:p w:rsidR="006306E2"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Specifiche conoscenze linguistiche del personale fino ad un massimo di [5] punti:</w:t>
      </w:r>
    </w:p>
    <w:p w:rsidR="006306E2"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e) 1,00 punto sono attribuiti per l’eventuale impiego del personale – diverso dal mediatore linguistico, dal direttore e dall’amministrativo– che abbia un adeguato livello di conoscenza della lingua inglese, araba e/o francese. Si considera adeguato almeno il livello di conoscenza C1 del Quadro Comune Europeo di riferimento per la conoscenza della lingua (QCER) di suddette lingue certificato).</w:t>
      </w:r>
    </w:p>
    <w:p w:rsidR="006306E2" w:rsidRPr="00B02292" w:rsidRDefault="006306E2"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lastRenderedPageBreak/>
        <w:t>N.B. Per l’attribuzione dei suddetti punteggi è obbligatorio allegare all’Offerta tecnica le certificazioni comprovanti il livello di conoscenza linguistico richiesto.</w:t>
      </w:r>
    </w:p>
    <w:tbl>
      <w:tblPr>
        <w:tblpPr w:leftFromText="141" w:rightFromText="141" w:vertAnchor="text" w:horzAnchor="margin" w:tblpY="170"/>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0"/>
        <w:gridCol w:w="2299"/>
        <w:gridCol w:w="2095"/>
      </w:tblGrid>
      <w:tr w:rsidR="00EB2828" w:rsidRPr="00B02292" w:rsidTr="00EB2828">
        <w:trPr>
          <w:trHeight w:val="987"/>
        </w:trPr>
        <w:tc>
          <w:tcPr>
            <w:tcW w:w="5240" w:type="dxa"/>
            <w:shd w:val="clear" w:color="auto" w:fill="auto"/>
            <w:vAlign w:val="center"/>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Unità di personale diverso dal mediatore linguistico</w:t>
            </w:r>
          </w:p>
        </w:tc>
        <w:tc>
          <w:tcPr>
            <w:tcW w:w="2299" w:type="dxa"/>
            <w:shd w:val="clear" w:color="auto" w:fill="auto"/>
            <w:vAlign w:val="center"/>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lingua conosciuta Inglese/arabo/francese</w:t>
            </w:r>
          </w:p>
        </w:tc>
        <w:tc>
          <w:tcPr>
            <w:tcW w:w="2095" w:type="dxa"/>
            <w:shd w:val="clear" w:color="auto" w:fill="auto"/>
            <w:vAlign w:val="center"/>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livello conoscenza Quadro Comune </w:t>
            </w:r>
            <w:proofErr w:type="gramStart"/>
            <w:r w:rsidRPr="00B02292">
              <w:rPr>
                <w:rFonts w:ascii="Times New Roman" w:eastAsia="Arial" w:hAnsi="Times New Roman"/>
                <w:sz w:val="24"/>
                <w:szCs w:val="24"/>
              </w:rPr>
              <w:t>Europeo(</w:t>
            </w:r>
            <w:proofErr w:type="spellStart"/>
            <w:proofErr w:type="gramEnd"/>
            <w:r w:rsidRPr="00B02292">
              <w:rPr>
                <w:rFonts w:ascii="Times New Roman" w:eastAsia="Arial" w:hAnsi="Times New Roman"/>
                <w:sz w:val="24"/>
                <w:szCs w:val="24"/>
              </w:rPr>
              <w:t>Min</w:t>
            </w:r>
            <w:proofErr w:type="spellEnd"/>
            <w:r w:rsidRPr="00B02292">
              <w:rPr>
                <w:rFonts w:ascii="Times New Roman" w:eastAsia="Arial" w:hAnsi="Times New Roman"/>
                <w:sz w:val="24"/>
                <w:szCs w:val="24"/>
              </w:rPr>
              <w:t xml:space="preserve"> C1)</w:t>
            </w:r>
          </w:p>
        </w:tc>
      </w:tr>
      <w:tr w:rsidR="00EB2828" w:rsidRPr="00B02292" w:rsidTr="00EB2828">
        <w:trPr>
          <w:trHeight w:val="469"/>
        </w:trPr>
        <w:tc>
          <w:tcPr>
            <w:tcW w:w="5240"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299"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095"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r>
      <w:tr w:rsidR="00EB2828" w:rsidRPr="00B02292" w:rsidTr="00EB2828">
        <w:trPr>
          <w:trHeight w:val="469"/>
        </w:trPr>
        <w:tc>
          <w:tcPr>
            <w:tcW w:w="5240"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299"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095"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r>
      <w:tr w:rsidR="00EB2828" w:rsidRPr="00B02292" w:rsidTr="00EB2828">
        <w:trPr>
          <w:trHeight w:val="469"/>
        </w:trPr>
        <w:tc>
          <w:tcPr>
            <w:tcW w:w="5240"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p>
        </w:tc>
        <w:tc>
          <w:tcPr>
            <w:tcW w:w="2299"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p>
        </w:tc>
        <w:tc>
          <w:tcPr>
            <w:tcW w:w="2095"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p>
        </w:tc>
      </w:tr>
      <w:tr w:rsidR="00EB2828" w:rsidRPr="00B02292" w:rsidTr="00EB2828">
        <w:trPr>
          <w:trHeight w:val="469"/>
        </w:trPr>
        <w:tc>
          <w:tcPr>
            <w:tcW w:w="5240"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299"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095"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r>
      <w:tr w:rsidR="00EB2828" w:rsidRPr="00B02292" w:rsidTr="00EB2828">
        <w:trPr>
          <w:trHeight w:val="469"/>
        </w:trPr>
        <w:tc>
          <w:tcPr>
            <w:tcW w:w="5240"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299"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095"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r>
      <w:tr w:rsidR="00EB2828" w:rsidRPr="00B02292" w:rsidTr="00EB2828">
        <w:trPr>
          <w:trHeight w:val="469"/>
        </w:trPr>
        <w:tc>
          <w:tcPr>
            <w:tcW w:w="5240"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299"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c>
          <w:tcPr>
            <w:tcW w:w="2095" w:type="dxa"/>
            <w:shd w:val="clear" w:color="auto" w:fill="auto"/>
            <w:noWrap/>
            <w:vAlign w:val="bottom"/>
          </w:tcPr>
          <w:p w:rsidR="00EB2828" w:rsidRPr="00B02292" w:rsidRDefault="00EB2828"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w:t>
            </w:r>
          </w:p>
        </w:tc>
      </w:tr>
    </w:tbl>
    <w:p w:rsidR="00597D2E" w:rsidRPr="00B02292" w:rsidRDefault="00597D2E" w:rsidP="00507839">
      <w:pPr>
        <w:spacing w:after="0" w:line="240" w:lineRule="auto"/>
        <w:ind w:hanging="119"/>
        <w:jc w:val="both"/>
        <w:rPr>
          <w:rFonts w:ascii="Times New Roman" w:eastAsia="Arial" w:hAnsi="Times New Roman"/>
          <w:sz w:val="24"/>
          <w:szCs w:val="24"/>
        </w:rPr>
      </w:pPr>
    </w:p>
    <w:p w:rsidR="00EB2828" w:rsidRPr="00B02292" w:rsidRDefault="00EB2828" w:rsidP="00507839">
      <w:pPr>
        <w:spacing w:after="0" w:line="240" w:lineRule="auto"/>
        <w:ind w:hanging="119"/>
        <w:jc w:val="both"/>
        <w:rPr>
          <w:rFonts w:ascii="Times New Roman" w:eastAsia="Arial" w:hAnsi="Times New Roman"/>
          <w:sz w:val="24"/>
          <w:szCs w:val="24"/>
        </w:rPr>
      </w:pPr>
    </w:p>
    <w:p w:rsidR="00EB2828" w:rsidRPr="00B02292" w:rsidRDefault="00EB2828" w:rsidP="00507839">
      <w:pPr>
        <w:spacing w:after="0" w:line="240" w:lineRule="auto"/>
        <w:ind w:hanging="119"/>
        <w:jc w:val="both"/>
        <w:rPr>
          <w:rFonts w:ascii="Times New Roman" w:eastAsia="Arial" w:hAnsi="Times New Roman"/>
          <w:sz w:val="24"/>
          <w:szCs w:val="24"/>
        </w:rPr>
      </w:pPr>
    </w:p>
    <w:p w:rsidR="00EB2828" w:rsidRPr="00B02292" w:rsidRDefault="00EB2828" w:rsidP="00507839">
      <w:pPr>
        <w:spacing w:after="0" w:line="240" w:lineRule="auto"/>
        <w:ind w:hanging="119"/>
        <w:jc w:val="both"/>
        <w:rPr>
          <w:rFonts w:ascii="Times New Roman" w:eastAsia="Arial" w:hAnsi="Times New Roman"/>
          <w:sz w:val="24"/>
          <w:szCs w:val="24"/>
        </w:rPr>
      </w:pPr>
    </w:p>
    <w:p w:rsidR="00597D2E"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D.1.2 </w:t>
      </w:r>
      <w:r w:rsidR="00C85075" w:rsidRPr="00B02292">
        <w:rPr>
          <w:rFonts w:ascii="Times New Roman" w:eastAsia="Arial" w:hAnsi="Times New Roman"/>
          <w:sz w:val="24"/>
          <w:szCs w:val="24"/>
        </w:rPr>
        <w:t>EFFICIENTAMENTO DEL SERVIZIO</w:t>
      </w:r>
      <w:r w:rsidRPr="00B02292">
        <w:rPr>
          <w:rFonts w:ascii="Times New Roman" w:eastAsia="Arial" w:hAnsi="Times New Roman"/>
          <w:sz w:val="24"/>
          <w:szCs w:val="24"/>
        </w:rPr>
        <w:t xml:space="preserve">: (Max </w:t>
      </w:r>
      <w:r w:rsidR="00EC6683" w:rsidRPr="00B02292">
        <w:rPr>
          <w:rFonts w:ascii="Times New Roman" w:eastAsia="Arial" w:hAnsi="Times New Roman"/>
          <w:sz w:val="24"/>
          <w:szCs w:val="24"/>
        </w:rPr>
        <w:t>12</w:t>
      </w:r>
      <w:r w:rsidRPr="00B02292">
        <w:rPr>
          <w:rFonts w:ascii="Times New Roman" w:eastAsia="Arial" w:hAnsi="Times New Roman"/>
          <w:sz w:val="24"/>
          <w:szCs w:val="24"/>
        </w:rPr>
        <w:t xml:space="preserve"> punti)</w:t>
      </w:r>
    </w:p>
    <w:p w:rsidR="00EC6683"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a) </w:t>
      </w:r>
      <w:r w:rsidR="00EC6683" w:rsidRPr="00B02292">
        <w:rPr>
          <w:rFonts w:ascii="Times New Roman" w:eastAsia="Arial" w:hAnsi="Times New Roman"/>
          <w:sz w:val="24"/>
          <w:szCs w:val="24"/>
        </w:rPr>
        <w:t>1,00 punto, la tracciabilità informatizzata della consegna dei beni;</w:t>
      </w:r>
    </w:p>
    <w:p w:rsidR="00597D2E"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507839">
      <w:pPr>
        <w:spacing w:after="0" w:line="240" w:lineRule="auto"/>
        <w:ind w:hanging="119"/>
        <w:jc w:val="both"/>
        <w:rPr>
          <w:rFonts w:ascii="Times New Roman" w:eastAsia="Arial" w:hAnsi="Times New Roman"/>
          <w:sz w:val="24"/>
          <w:szCs w:val="24"/>
        </w:rPr>
      </w:pPr>
    </w:p>
    <w:p w:rsidR="00597D2E"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b) 1,50 punti, la gestione informatizzata idonea all’estrazione di report per i servizi di raccolta e gestione dei dati personali relativi agli ospiti per i compiti indicati nell’art. 2 lett. A) punto 1) del capitolato; </w:t>
      </w:r>
    </w:p>
    <w:p w:rsidR="00597D2E"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507839">
      <w:pPr>
        <w:spacing w:after="0" w:line="240" w:lineRule="auto"/>
        <w:ind w:hanging="119"/>
        <w:jc w:val="both"/>
        <w:rPr>
          <w:rFonts w:ascii="Times New Roman" w:eastAsia="Arial" w:hAnsi="Times New Roman"/>
          <w:sz w:val="24"/>
          <w:szCs w:val="24"/>
        </w:rPr>
      </w:pPr>
    </w:p>
    <w:p w:rsidR="00597D2E" w:rsidRPr="00B02292" w:rsidRDefault="00597D2E" w:rsidP="00507839">
      <w:pPr>
        <w:spacing w:after="0" w:line="240" w:lineRule="auto"/>
        <w:ind w:hanging="119"/>
        <w:jc w:val="both"/>
        <w:rPr>
          <w:rFonts w:ascii="Times New Roman" w:eastAsia="Arial" w:hAnsi="Times New Roman"/>
          <w:sz w:val="24"/>
          <w:szCs w:val="24"/>
        </w:rPr>
      </w:pPr>
    </w:p>
    <w:p w:rsidR="00EC6683"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c) </w:t>
      </w:r>
      <w:r w:rsidR="00EC6683" w:rsidRPr="00B02292">
        <w:rPr>
          <w:rFonts w:ascii="Times New Roman" w:eastAsia="Arial" w:hAnsi="Times New Roman"/>
          <w:sz w:val="24"/>
          <w:szCs w:val="24"/>
        </w:rPr>
        <w:t>1,50 punti, l’eventuale proposta di adozione di un idoneo sistema di rilevazione automatica delle presenze mediante apposito badge personale, come indicato nell’articolo 2, lettera A), punto n. 2 ultimo periodo dello schema di capitolato;</w:t>
      </w:r>
    </w:p>
    <w:p w:rsidR="00597D2E"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507839">
      <w:pPr>
        <w:spacing w:after="0" w:line="240" w:lineRule="auto"/>
        <w:ind w:hanging="119"/>
        <w:jc w:val="both"/>
        <w:rPr>
          <w:rFonts w:ascii="Times New Roman" w:eastAsia="Arial" w:hAnsi="Times New Roman"/>
          <w:sz w:val="24"/>
          <w:szCs w:val="24"/>
        </w:rPr>
      </w:pPr>
    </w:p>
    <w:p w:rsidR="00597D2E" w:rsidRPr="00B02292" w:rsidRDefault="00597D2E" w:rsidP="00507839">
      <w:pPr>
        <w:spacing w:after="0" w:line="240" w:lineRule="auto"/>
        <w:ind w:hanging="119"/>
        <w:jc w:val="both"/>
        <w:rPr>
          <w:rFonts w:ascii="Times New Roman" w:eastAsia="Arial" w:hAnsi="Times New Roman"/>
          <w:sz w:val="24"/>
          <w:szCs w:val="24"/>
        </w:rPr>
      </w:pPr>
    </w:p>
    <w:p w:rsidR="00507839"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d) </w:t>
      </w:r>
      <w:r w:rsidR="00507839" w:rsidRPr="00B02292">
        <w:rPr>
          <w:rFonts w:ascii="Times New Roman" w:eastAsia="Arial" w:hAnsi="Times New Roman"/>
          <w:sz w:val="24"/>
          <w:szCs w:val="24"/>
        </w:rPr>
        <w:t>1,00 punto, la gestione informatizzata del servizio di amministrazione e contabilizzazione e rendicontazione di tutti i dati relativi alla fornitura, al consumo e alla complessiva movimentazione di magazzino;</w:t>
      </w:r>
    </w:p>
    <w:p w:rsidR="00507839"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507839">
      <w:pPr>
        <w:spacing w:after="0" w:line="240" w:lineRule="auto"/>
        <w:ind w:hanging="119"/>
        <w:jc w:val="both"/>
        <w:rPr>
          <w:rFonts w:ascii="Times New Roman" w:eastAsia="Arial" w:hAnsi="Times New Roman"/>
          <w:sz w:val="24"/>
          <w:szCs w:val="24"/>
        </w:rPr>
      </w:pPr>
    </w:p>
    <w:p w:rsidR="00507839" w:rsidRPr="00B02292" w:rsidRDefault="00597D2E" w:rsidP="00507839">
      <w:pPr>
        <w:spacing w:after="0" w:line="240" w:lineRule="auto"/>
        <w:ind w:hanging="119"/>
        <w:jc w:val="both"/>
        <w:rPr>
          <w:rFonts w:ascii="Times New Roman" w:eastAsia="Arial" w:hAnsi="Times New Roman"/>
          <w:sz w:val="24"/>
          <w:szCs w:val="24"/>
        </w:rPr>
      </w:pPr>
      <w:r w:rsidRPr="00B02292">
        <w:rPr>
          <w:rFonts w:ascii="Times New Roman" w:eastAsia="Arial" w:hAnsi="Times New Roman"/>
          <w:sz w:val="24"/>
          <w:szCs w:val="24"/>
        </w:rPr>
        <w:t xml:space="preserve">e) </w:t>
      </w:r>
      <w:r w:rsidR="00507839" w:rsidRPr="00B02292">
        <w:rPr>
          <w:rFonts w:ascii="Times New Roman" w:eastAsia="Arial" w:hAnsi="Times New Roman"/>
          <w:sz w:val="24"/>
          <w:szCs w:val="24"/>
        </w:rPr>
        <w:t>1,50 punti, la gestione informatizzata dei dati relativi al servizio di assistenza sanitaria con riferimento ai compiti previsti nel capitolato d’appalto e nelle specifiche tecniche;</w:t>
      </w:r>
    </w:p>
    <w:p w:rsidR="00597D2E" w:rsidRPr="00B02292" w:rsidRDefault="00597D2E" w:rsidP="00507839">
      <w:pPr>
        <w:spacing w:after="0" w:line="240" w:lineRule="auto"/>
        <w:ind w:hanging="119"/>
        <w:jc w:val="both"/>
        <w:rPr>
          <w:rFonts w:ascii="Times New Roman" w:hAnsi="Times New Roman"/>
          <w:sz w:val="24"/>
          <w:szCs w:val="24"/>
        </w:rPr>
      </w:pPr>
      <w:r w:rsidRPr="00B02292">
        <w:rPr>
          <w:rFonts w:ascii="Times New Roman" w:eastAsia="Arial"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1F3147" w:rsidRPr="00B02292" w:rsidRDefault="001F3147" w:rsidP="001F3147">
      <w:pPr>
        <w:spacing w:after="0" w:line="240" w:lineRule="auto"/>
        <w:contextualSpacing/>
        <w:jc w:val="both"/>
        <w:rPr>
          <w:rFonts w:ascii="Times New Roman" w:eastAsia="Times New Roman" w:hAnsi="Times New Roman"/>
          <w:sz w:val="24"/>
          <w:szCs w:val="24"/>
          <w:lang w:eastAsia="zh-CN"/>
        </w:rPr>
      </w:pPr>
      <w:r w:rsidRPr="00B02292">
        <w:rPr>
          <w:rFonts w:ascii="Times New Roman" w:eastAsia="Times New Roman" w:hAnsi="Times New Roman"/>
          <w:sz w:val="24"/>
          <w:szCs w:val="24"/>
          <w:lang w:eastAsia="zh-CN"/>
        </w:rPr>
        <w:t xml:space="preserve">f) 1,00 punto, la predisposizione di un programma di elaborazione dei dati relativi ai servizi </w:t>
      </w:r>
    </w:p>
    <w:p w:rsidR="00597D2E" w:rsidRPr="00B02292" w:rsidRDefault="001F3147" w:rsidP="001F3147">
      <w:pPr>
        <w:spacing w:after="0" w:line="240" w:lineRule="auto"/>
        <w:contextualSpacing/>
        <w:jc w:val="both"/>
        <w:rPr>
          <w:rFonts w:ascii="Times New Roman" w:eastAsia="Times New Roman" w:hAnsi="Times New Roman"/>
          <w:sz w:val="24"/>
          <w:szCs w:val="24"/>
          <w:lang w:eastAsia="zh-CN"/>
        </w:rPr>
      </w:pPr>
      <w:r w:rsidRPr="00B02292">
        <w:rPr>
          <w:rFonts w:ascii="Times New Roman" w:eastAsia="Times New Roman" w:hAnsi="Times New Roman"/>
          <w:sz w:val="24"/>
          <w:szCs w:val="24"/>
          <w:lang w:eastAsia="zh-CN"/>
        </w:rPr>
        <w:t>affidati in gestione, necessari ai compiti di controllo.</w:t>
      </w:r>
    </w:p>
    <w:p w:rsidR="00597D2E" w:rsidRPr="00B02292" w:rsidRDefault="00597D2E" w:rsidP="00C85075">
      <w:pPr>
        <w:spacing w:after="0" w:line="240" w:lineRule="auto"/>
        <w:jc w:val="both"/>
        <w:rPr>
          <w:rFonts w:ascii="Times New Roman" w:eastAsia="Times New Roman" w:hAnsi="Times New Roman"/>
          <w:sz w:val="24"/>
          <w:szCs w:val="24"/>
          <w:lang w:eastAsia="zh-CN"/>
        </w:rPr>
      </w:pPr>
      <w:r w:rsidRPr="00B02292">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r w:rsidRPr="00B02292">
        <w:rPr>
          <w:rFonts w:ascii="Times New Roman" w:eastAsia="Times New Roman" w:hAnsi="Times New Roman"/>
          <w:sz w:val="24"/>
          <w:szCs w:val="24"/>
          <w:lang w:eastAsia="zh-CN"/>
        </w:rPr>
        <w:t xml:space="preserve">g) </w:t>
      </w:r>
      <w:r w:rsidR="001F3147" w:rsidRPr="00B02292">
        <w:rPr>
          <w:rFonts w:ascii="Times New Roman" w:eastAsia="Times New Roman" w:hAnsi="Times New Roman"/>
          <w:sz w:val="24"/>
          <w:szCs w:val="24"/>
          <w:lang w:eastAsia="zh-CN"/>
        </w:rPr>
        <w:t>2,00</w:t>
      </w:r>
      <w:r w:rsidRPr="00B02292">
        <w:rPr>
          <w:rFonts w:ascii="Times New Roman" w:eastAsia="Times New Roman" w:hAnsi="Times New Roman"/>
          <w:sz w:val="24"/>
          <w:szCs w:val="24"/>
          <w:lang w:eastAsia="zh-CN"/>
        </w:rPr>
        <w:t xml:space="preserve"> punti, la predisposizione di un piano alimentare indicante le modalità di approvvigionamento, la selezione e l’accreditamento dei fornitori nonché l’elenco di fornitori di materie prime con eventuali attestazioni riguardanti: il possesso della certificazione di qualità, le metodologie di verifica certificazioni, le scadenze, le provenienze e le etichettature, la gestione delle non conformità di prodotto e di processo; </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jc w:val="both"/>
        <w:rPr>
          <w:rFonts w:ascii="Times New Roman" w:hAnsi="Times New Roman"/>
          <w:sz w:val="24"/>
          <w:szCs w:val="24"/>
        </w:rPr>
      </w:pPr>
      <w:r w:rsidRPr="00B02292">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r w:rsidRPr="00B02292">
        <w:rPr>
          <w:rFonts w:ascii="Times New Roman" w:eastAsia="Times New Roman" w:hAnsi="Times New Roman"/>
          <w:sz w:val="24"/>
          <w:szCs w:val="24"/>
          <w:lang w:eastAsia="zh-CN"/>
        </w:rPr>
        <w:t>h) 1,00 punto, la predisposizione di una relazione indicante le misure gestionali, gli impegni ed i correlati mezzi di prova documentali volti a garantire, anche mediante personale adeguatamente formato, la qualità del servizio di preparazione e fornitura pasti nonché la relativa conformità ai criteri ambientali minimi, con riferimento al predetto servizio, nelle specifiche tecniche</w:t>
      </w:r>
      <w:r w:rsidR="001F3147" w:rsidRPr="00B02292">
        <w:rPr>
          <w:rFonts w:ascii="Times New Roman" w:eastAsia="Times New Roman" w:hAnsi="Times New Roman"/>
          <w:sz w:val="24"/>
          <w:szCs w:val="24"/>
          <w:lang w:eastAsia="zh-CN"/>
        </w:rPr>
        <w:t>;</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jc w:val="both"/>
        <w:rPr>
          <w:rFonts w:ascii="Times New Roman" w:hAnsi="Times New Roman"/>
          <w:sz w:val="24"/>
          <w:szCs w:val="24"/>
        </w:rPr>
      </w:pPr>
      <w:r w:rsidRPr="00B02292">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r w:rsidRPr="00B02292">
        <w:rPr>
          <w:rFonts w:ascii="Times New Roman" w:eastAsia="Times New Roman" w:hAnsi="Times New Roman"/>
          <w:sz w:val="24"/>
          <w:szCs w:val="24"/>
          <w:lang w:eastAsia="zh-CN"/>
        </w:rPr>
        <w:t xml:space="preserve">i) 1,00 punto, la fornitura del servizio di pulizia attraverso una propria unità organizzativa in possesso della licenza Ecolabel (Ue). </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r w:rsidRPr="00B02292">
        <w:rPr>
          <w:rFonts w:ascii="Times New Roman" w:eastAsia="Times New Roman" w:hAnsi="Times New Roman"/>
          <w:sz w:val="24"/>
          <w:szCs w:val="24"/>
          <w:lang w:eastAsia="zh-CN"/>
        </w:rPr>
        <w:t xml:space="preserve">j) 1,00 punto, l’esclusiva fornitura di prodotti in carta tessuto in possesso del marchio di qualità ecologica Ecolabel (Ue) o di etichette equivalenti, conformi alla norma tecnica UNI EN ISO 14024. </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jc w:val="both"/>
        <w:rPr>
          <w:rFonts w:ascii="Times New Roman" w:hAnsi="Times New Roman"/>
          <w:sz w:val="24"/>
          <w:szCs w:val="24"/>
        </w:rPr>
      </w:pPr>
      <w:r w:rsidRPr="00B02292">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597D2E" w:rsidRPr="00B02292" w:rsidRDefault="00597D2E" w:rsidP="00C85075">
      <w:pPr>
        <w:spacing w:after="0" w:line="240" w:lineRule="auto"/>
        <w:contextualSpacing/>
        <w:jc w:val="both"/>
        <w:rPr>
          <w:rFonts w:ascii="Times New Roman" w:eastAsia="Times New Roman" w:hAnsi="Times New Roman"/>
          <w:sz w:val="24"/>
          <w:szCs w:val="24"/>
          <w:lang w:eastAsia="zh-CN"/>
        </w:rPr>
      </w:pPr>
    </w:p>
    <w:p w:rsidR="00C85075" w:rsidRPr="00B02292" w:rsidRDefault="000E3A62" w:rsidP="00C85075">
      <w:pPr>
        <w:autoSpaceDE w:val="0"/>
        <w:autoSpaceDN w:val="0"/>
        <w:adjustRightInd w:val="0"/>
        <w:spacing w:after="0" w:line="240" w:lineRule="auto"/>
        <w:jc w:val="both"/>
        <w:rPr>
          <w:rFonts w:ascii="Times New Roman" w:hAnsi="Times New Roman"/>
          <w:b/>
          <w:bCs/>
          <w:color w:val="000000"/>
          <w:sz w:val="24"/>
          <w:szCs w:val="24"/>
          <w:lang w:eastAsia="it-IT"/>
        </w:rPr>
      </w:pPr>
      <w:r w:rsidRPr="00B02292">
        <w:rPr>
          <w:rFonts w:ascii="Times New Roman" w:eastAsia="Times New Roman" w:hAnsi="Times New Roman"/>
          <w:b/>
          <w:bCs/>
          <w:sz w:val="24"/>
          <w:szCs w:val="24"/>
          <w:lang w:eastAsia="zh-CN"/>
        </w:rPr>
        <w:t xml:space="preserve">D.2 PROPOSTE MIGLIORATIVE </w:t>
      </w:r>
      <w:r w:rsidRPr="00B02292">
        <w:rPr>
          <w:rFonts w:ascii="Times New Roman" w:eastAsia="Times New Roman" w:hAnsi="Times New Roman"/>
          <w:b/>
          <w:sz w:val="24"/>
          <w:szCs w:val="24"/>
          <w:lang w:eastAsia="zh-CN"/>
        </w:rPr>
        <w:t>(Max 2</w:t>
      </w:r>
      <w:r w:rsidR="00F87954" w:rsidRPr="00B02292">
        <w:rPr>
          <w:rFonts w:ascii="Times New Roman" w:eastAsia="Times New Roman" w:hAnsi="Times New Roman"/>
          <w:b/>
          <w:sz w:val="24"/>
          <w:szCs w:val="24"/>
          <w:lang w:eastAsia="zh-CN"/>
        </w:rPr>
        <w:t>4</w:t>
      </w:r>
      <w:r w:rsidRPr="00B02292">
        <w:rPr>
          <w:rFonts w:ascii="Times New Roman" w:eastAsia="Times New Roman" w:hAnsi="Times New Roman"/>
          <w:b/>
          <w:sz w:val="24"/>
          <w:szCs w:val="24"/>
          <w:lang w:eastAsia="zh-CN"/>
        </w:rPr>
        <w:t xml:space="preserve"> punti)</w:t>
      </w:r>
      <w:r w:rsidR="00C85075" w:rsidRPr="00B02292">
        <w:rPr>
          <w:rFonts w:ascii="Times New Roman" w:hAnsi="Times New Roman"/>
          <w:b/>
          <w:bCs/>
          <w:color w:val="000000"/>
          <w:sz w:val="24"/>
          <w:szCs w:val="24"/>
          <w:lang w:eastAsia="it-IT"/>
        </w:rPr>
        <w:t xml:space="preserve"> </w:t>
      </w:r>
    </w:p>
    <w:p w:rsidR="00F87954" w:rsidRPr="00B02292" w:rsidRDefault="00F87954" w:rsidP="00C85075">
      <w:pPr>
        <w:autoSpaceDE w:val="0"/>
        <w:autoSpaceDN w:val="0"/>
        <w:adjustRightInd w:val="0"/>
        <w:spacing w:after="0" w:line="240" w:lineRule="auto"/>
        <w:jc w:val="both"/>
        <w:rPr>
          <w:rFonts w:ascii="Times New Roman" w:hAnsi="Times New Roman"/>
          <w:b/>
          <w:color w:val="000000"/>
          <w:sz w:val="24"/>
          <w:szCs w:val="24"/>
          <w:lang w:eastAsia="it-IT"/>
        </w:rPr>
      </w:pPr>
    </w:p>
    <w:p w:rsidR="00B02292" w:rsidRPr="00B02292" w:rsidRDefault="00B02292" w:rsidP="00B02292">
      <w:pPr>
        <w:jc w:val="both"/>
        <w:rPr>
          <w:rFonts w:ascii="Times New Roman" w:hAnsi="Times New Roman"/>
          <w:sz w:val="24"/>
          <w:szCs w:val="24"/>
        </w:rPr>
      </w:pPr>
      <w:r w:rsidRPr="00B02292">
        <w:rPr>
          <w:rFonts w:ascii="Times New Roman" w:hAnsi="Times New Roman"/>
          <w:sz w:val="24"/>
          <w:szCs w:val="24"/>
        </w:rPr>
        <w:lastRenderedPageBreak/>
        <w:t xml:space="preserve">L’attribuzione del punteggio relativo a questo segmento di fattori di ponderazione, è operata sulla base di </w:t>
      </w:r>
      <w:r w:rsidRPr="00B02292">
        <w:rPr>
          <w:rFonts w:ascii="Times New Roman" w:hAnsi="Times New Roman"/>
          <w:b/>
          <w:sz w:val="24"/>
          <w:szCs w:val="24"/>
        </w:rPr>
        <w:t>complessivi 24 punti</w:t>
      </w:r>
      <w:r w:rsidRPr="00B02292">
        <w:rPr>
          <w:rFonts w:ascii="Times New Roman" w:hAnsi="Times New Roman"/>
          <w:sz w:val="24"/>
          <w:szCs w:val="24"/>
        </w:rPr>
        <w:t xml:space="preserve"> attribuiti per prestazioni ulteriori rispetto a quelle dettagliate nelle specifiche tecniche, utili a rendere un servizio maggiormente satisfattivo delle necessità di vita degli ospiti, secondo la seguente articolazione:</w:t>
      </w:r>
    </w:p>
    <w:p w:rsidR="00B02292" w:rsidRPr="00B02292" w:rsidRDefault="00B02292" w:rsidP="00B02292">
      <w:pPr>
        <w:pStyle w:val="Paragrafoelenco"/>
        <w:numPr>
          <w:ilvl w:val="0"/>
          <w:numId w:val="12"/>
        </w:numPr>
        <w:spacing w:after="200" w:line="276" w:lineRule="auto"/>
        <w:contextualSpacing/>
        <w:jc w:val="both"/>
        <w:rPr>
          <w:rFonts w:ascii="Times New Roman" w:hAnsi="Times New Roman" w:cs="Times New Roman"/>
          <w:lang w:eastAsia="en-US"/>
        </w:rPr>
      </w:pPr>
      <w:r w:rsidRPr="00B02292">
        <w:rPr>
          <w:rFonts w:ascii="Times New Roman" w:hAnsi="Times New Roman" w:cs="Times New Roman"/>
          <w:lang w:eastAsia="en-US"/>
        </w:rPr>
        <w:t>progetti di concreta attuazione – analiticamente descritti e dettagliati in tutte le fasi e modalità – per la gestione del tempo libero dei minori (</w:t>
      </w:r>
      <w:r w:rsidRPr="00B02292">
        <w:rPr>
          <w:rFonts w:ascii="Times New Roman" w:hAnsi="Times New Roman" w:cs="Times New Roman"/>
          <w:b/>
          <w:lang w:eastAsia="en-US"/>
        </w:rPr>
        <w:t>massimo 6 punti</w:t>
      </w:r>
      <w:r w:rsidRPr="00B02292">
        <w:rPr>
          <w:rFonts w:ascii="Times New Roman" w:hAnsi="Times New Roman" w:cs="Times New Roman"/>
          <w:lang w:eastAsia="en-US"/>
        </w:rPr>
        <w:t>);</w:t>
      </w:r>
    </w:p>
    <w:p w:rsidR="00B02292" w:rsidRPr="00B02292" w:rsidRDefault="00B02292" w:rsidP="00B02292">
      <w:pPr>
        <w:pStyle w:val="Paragrafoelenco"/>
        <w:numPr>
          <w:ilvl w:val="0"/>
          <w:numId w:val="12"/>
        </w:numPr>
        <w:spacing w:after="200" w:line="276" w:lineRule="auto"/>
        <w:contextualSpacing/>
        <w:jc w:val="both"/>
        <w:rPr>
          <w:rFonts w:ascii="Times New Roman" w:hAnsi="Times New Roman" w:cs="Times New Roman"/>
          <w:lang w:eastAsia="en-US"/>
        </w:rPr>
      </w:pPr>
      <w:r w:rsidRPr="00B02292">
        <w:rPr>
          <w:rFonts w:ascii="Times New Roman" w:hAnsi="Times New Roman" w:cs="Times New Roman"/>
          <w:lang w:eastAsia="en-US"/>
        </w:rPr>
        <w:t>protocolli di collaborazione ed accordi con l'azienda sanitaria territorialmente competente per l’organizzazione dei servizi di assistenza sanitaria (</w:t>
      </w:r>
      <w:r w:rsidRPr="00B02292">
        <w:rPr>
          <w:rFonts w:ascii="Times New Roman" w:hAnsi="Times New Roman" w:cs="Times New Roman"/>
          <w:b/>
          <w:lang w:eastAsia="en-US"/>
        </w:rPr>
        <w:t>massimo 6 punti)</w:t>
      </w:r>
      <w:r w:rsidRPr="00B02292">
        <w:rPr>
          <w:rFonts w:ascii="Times New Roman" w:hAnsi="Times New Roman" w:cs="Times New Roman"/>
          <w:lang w:eastAsia="en-US"/>
        </w:rPr>
        <w:t>;</w:t>
      </w:r>
    </w:p>
    <w:p w:rsidR="00B02292" w:rsidRPr="00B02292" w:rsidRDefault="00B02292" w:rsidP="00B02292">
      <w:pPr>
        <w:pStyle w:val="Paragrafoelenco"/>
        <w:numPr>
          <w:ilvl w:val="0"/>
          <w:numId w:val="12"/>
        </w:numPr>
        <w:spacing w:after="200" w:line="276" w:lineRule="auto"/>
        <w:contextualSpacing/>
        <w:jc w:val="both"/>
        <w:rPr>
          <w:rFonts w:ascii="Times New Roman" w:hAnsi="Times New Roman" w:cs="Times New Roman"/>
          <w:lang w:eastAsia="en-US"/>
        </w:rPr>
      </w:pPr>
      <w:r w:rsidRPr="00B02292">
        <w:rPr>
          <w:rFonts w:ascii="Times New Roman" w:hAnsi="Times New Roman" w:cs="Times New Roman"/>
          <w:lang w:eastAsia="en-US"/>
        </w:rPr>
        <w:t>impiego di mediatori linguistico-culturali in grado di operare mediante l’uso di lingue diverse da quelle previste (inglese, francese e arabo) e comunque pertinenti all’origine dei beneficiari (</w:t>
      </w:r>
      <w:r w:rsidRPr="00B02292">
        <w:rPr>
          <w:rFonts w:ascii="Times New Roman" w:hAnsi="Times New Roman" w:cs="Times New Roman"/>
          <w:b/>
          <w:lang w:eastAsia="en-US"/>
        </w:rPr>
        <w:t>massimo 6 punti)</w:t>
      </w:r>
      <w:r w:rsidRPr="00B02292">
        <w:rPr>
          <w:rFonts w:ascii="Times New Roman" w:hAnsi="Times New Roman" w:cs="Times New Roman"/>
          <w:lang w:eastAsia="en-US"/>
        </w:rPr>
        <w:t>;</w:t>
      </w:r>
    </w:p>
    <w:p w:rsidR="00B02292" w:rsidRPr="00B02292" w:rsidRDefault="00B02292" w:rsidP="00B02292">
      <w:pPr>
        <w:pStyle w:val="Paragrafoelenco"/>
        <w:numPr>
          <w:ilvl w:val="0"/>
          <w:numId w:val="11"/>
        </w:numPr>
        <w:spacing w:line="276" w:lineRule="auto"/>
        <w:contextualSpacing/>
        <w:jc w:val="both"/>
        <w:rPr>
          <w:rFonts w:ascii="Times New Roman" w:hAnsi="Times New Roman" w:cs="Times New Roman"/>
          <w:lang w:eastAsia="en-US"/>
        </w:rPr>
      </w:pPr>
      <w:r w:rsidRPr="00B02292">
        <w:rPr>
          <w:rFonts w:ascii="Times New Roman" w:hAnsi="Times New Roman" w:cs="Times New Roman"/>
          <w:lang w:eastAsia="en-US"/>
        </w:rPr>
        <w:t>progetti di concreta attuazione – analiticamente descritti e dettagliati in tutte le fasi e modalità – per la gestione del tempo libero degli adulti (</w:t>
      </w:r>
      <w:r w:rsidRPr="00B02292">
        <w:rPr>
          <w:rFonts w:ascii="Times New Roman" w:hAnsi="Times New Roman" w:cs="Times New Roman"/>
          <w:b/>
          <w:lang w:eastAsia="en-US"/>
        </w:rPr>
        <w:t>massimo 6 punti).</w:t>
      </w:r>
    </w:p>
    <w:p w:rsidR="00B02292" w:rsidRPr="00B02292" w:rsidRDefault="00B02292" w:rsidP="00B02292">
      <w:pPr>
        <w:pStyle w:val="Paragrafoelenco"/>
        <w:spacing w:line="276" w:lineRule="auto"/>
        <w:rPr>
          <w:rFonts w:ascii="Times New Roman" w:hAnsi="Times New Roman" w:cs="Times New Roman"/>
        </w:rPr>
      </w:pPr>
    </w:p>
    <w:p w:rsidR="006306E2" w:rsidRPr="00B02292" w:rsidRDefault="006306E2" w:rsidP="00C85075">
      <w:pPr>
        <w:spacing w:after="0" w:line="240" w:lineRule="auto"/>
        <w:jc w:val="both"/>
        <w:rPr>
          <w:rFonts w:ascii="Times New Roman" w:hAnsi="Times New Roman"/>
          <w:sz w:val="24"/>
          <w:szCs w:val="24"/>
        </w:rPr>
      </w:pPr>
    </w:p>
    <w:p w:rsidR="006306E2" w:rsidRPr="00B02292" w:rsidRDefault="006306E2" w:rsidP="00C85075">
      <w:pPr>
        <w:spacing w:after="0" w:line="240" w:lineRule="auto"/>
        <w:ind w:hanging="142"/>
        <w:contextualSpacing/>
        <w:jc w:val="both"/>
        <w:rPr>
          <w:rFonts w:ascii="Times New Roman" w:eastAsia="Times New Roman" w:hAnsi="Times New Roman"/>
          <w:b/>
          <w:color w:val="FF0000"/>
          <w:sz w:val="24"/>
          <w:szCs w:val="24"/>
          <w:lang w:eastAsia="zh-CN"/>
        </w:rPr>
      </w:pPr>
    </w:p>
    <w:p w:rsidR="006306E2" w:rsidRPr="00B02292" w:rsidRDefault="006306E2" w:rsidP="00C85075">
      <w:pPr>
        <w:spacing w:after="0" w:line="240" w:lineRule="auto"/>
        <w:jc w:val="both"/>
        <w:rPr>
          <w:rFonts w:ascii="Times New Roman" w:hAnsi="Times New Roman"/>
          <w:sz w:val="24"/>
          <w:szCs w:val="24"/>
        </w:rPr>
      </w:pPr>
    </w:p>
    <w:p w:rsidR="006306E2" w:rsidRPr="00B02292" w:rsidRDefault="006306E2" w:rsidP="00C85075">
      <w:pPr>
        <w:spacing w:after="0" w:line="240" w:lineRule="auto"/>
        <w:contextualSpacing/>
        <w:jc w:val="both"/>
        <w:rPr>
          <w:rFonts w:ascii="Times New Roman" w:eastAsia="Times New Roman" w:hAnsi="Times New Roman"/>
          <w:b/>
          <w:i/>
          <w:sz w:val="24"/>
          <w:szCs w:val="24"/>
          <w:lang w:eastAsia="zh-CN"/>
        </w:rPr>
      </w:pPr>
      <w:r w:rsidRPr="00B02292">
        <w:rPr>
          <w:rFonts w:ascii="Times New Roman" w:eastAsia="Times New Roman" w:hAnsi="Times New Roman"/>
          <w:b/>
          <w:i/>
          <w:sz w:val="24"/>
          <w:szCs w:val="24"/>
          <w:lang w:eastAsia="zh-CN"/>
        </w:rPr>
        <w:t xml:space="preserve"> N.B. Le intese, gli accordi e i protocolli sopraindicati dovranno essere obbligatoriamente allegati all’offerta tecnica in copia conforme.</w:t>
      </w:r>
    </w:p>
    <w:p w:rsidR="006306E2" w:rsidRPr="00B02292" w:rsidRDefault="006306E2" w:rsidP="00C85075">
      <w:pPr>
        <w:pStyle w:val="Default"/>
        <w:jc w:val="both"/>
        <w:rPr>
          <w:rFonts w:ascii="Times New Roman" w:hAnsi="Times New Roman" w:cs="Times New Roman"/>
        </w:rPr>
      </w:pPr>
    </w:p>
    <w:p w:rsidR="006306E2" w:rsidRPr="00B02292" w:rsidRDefault="006306E2" w:rsidP="00C85075">
      <w:pPr>
        <w:pStyle w:val="Default"/>
        <w:jc w:val="both"/>
        <w:rPr>
          <w:rFonts w:ascii="Times New Roman" w:hAnsi="Times New Roman" w:cs="Times New Roman"/>
        </w:rPr>
      </w:pPr>
      <w:r w:rsidRPr="00B02292">
        <w:rPr>
          <w:rFonts w:ascii="Times New Roman" w:hAnsi="Times New Roman" w:cs="Times New Roman"/>
        </w:rPr>
        <w:t xml:space="preserve">_______, li _________________ </w:t>
      </w:r>
      <w:r w:rsidRPr="00B02292">
        <w:rPr>
          <w:rFonts w:ascii="Times New Roman" w:hAnsi="Times New Roman" w:cs="Times New Roman"/>
        </w:rPr>
        <w:tab/>
      </w:r>
      <w:r w:rsidRPr="00B02292">
        <w:rPr>
          <w:rFonts w:ascii="Times New Roman" w:hAnsi="Times New Roman" w:cs="Times New Roman"/>
        </w:rPr>
        <w:tab/>
      </w:r>
      <w:r w:rsidRPr="00B02292">
        <w:rPr>
          <w:rFonts w:ascii="Times New Roman" w:hAnsi="Times New Roman" w:cs="Times New Roman"/>
        </w:rPr>
        <w:tab/>
      </w:r>
      <w:r w:rsidRPr="00B02292">
        <w:rPr>
          <w:rFonts w:ascii="Times New Roman" w:hAnsi="Times New Roman" w:cs="Times New Roman"/>
        </w:rPr>
        <w:tab/>
      </w:r>
      <w:r w:rsidRPr="00B02292">
        <w:rPr>
          <w:rFonts w:ascii="Times New Roman" w:hAnsi="Times New Roman" w:cs="Times New Roman"/>
        </w:rPr>
        <w:tab/>
      </w:r>
      <w:r w:rsidRPr="00B02292">
        <w:rPr>
          <w:rFonts w:ascii="Times New Roman" w:hAnsi="Times New Roman" w:cs="Times New Roman"/>
        </w:rPr>
        <w:tab/>
        <w:t xml:space="preserve">   Il dichiarante</w:t>
      </w:r>
    </w:p>
    <w:p w:rsidR="006306E2" w:rsidRPr="00B02292" w:rsidRDefault="006306E2" w:rsidP="00C85075">
      <w:pPr>
        <w:pStyle w:val="Default"/>
        <w:tabs>
          <w:tab w:val="center" w:pos="7938"/>
        </w:tabs>
        <w:jc w:val="both"/>
        <w:rPr>
          <w:rFonts w:ascii="Times New Roman" w:hAnsi="Times New Roman" w:cs="Times New Roman"/>
        </w:rPr>
      </w:pPr>
    </w:p>
    <w:p w:rsidR="006306E2" w:rsidRPr="00B02292" w:rsidRDefault="006306E2" w:rsidP="00C85075">
      <w:pPr>
        <w:pStyle w:val="Default"/>
        <w:tabs>
          <w:tab w:val="center" w:pos="7938"/>
        </w:tabs>
        <w:jc w:val="both"/>
        <w:rPr>
          <w:rFonts w:ascii="Times New Roman" w:hAnsi="Times New Roman" w:cs="Times New Roman"/>
        </w:rPr>
      </w:pPr>
      <w:r w:rsidRPr="00B02292">
        <w:rPr>
          <w:rFonts w:ascii="Times New Roman" w:hAnsi="Times New Roman" w:cs="Times New Roman"/>
        </w:rPr>
        <w:tab/>
        <w:t xml:space="preserve">_________________ </w:t>
      </w:r>
    </w:p>
    <w:p w:rsidR="006306E2" w:rsidRPr="00C85075" w:rsidRDefault="006306E2" w:rsidP="00C85075">
      <w:pPr>
        <w:pStyle w:val="Default"/>
        <w:jc w:val="both"/>
        <w:rPr>
          <w:rFonts w:ascii="Times New Roman" w:hAnsi="Times New Roman" w:cs="Times New Roman"/>
        </w:rPr>
      </w:pPr>
    </w:p>
    <w:p w:rsidR="006306E2" w:rsidRPr="00C85075" w:rsidRDefault="006306E2" w:rsidP="00C85075">
      <w:pPr>
        <w:pStyle w:val="Default"/>
        <w:jc w:val="both"/>
        <w:rPr>
          <w:rFonts w:ascii="Times New Roman" w:hAnsi="Times New Roman" w:cs="Times New Roman"/>
        </w:rPr>
      </w:pPr>
    </w:p>
    <w:p w:rsidR="006306E2" w:rsidRPr="00C85075" w:rsidRDefault="006306E2" w:rsidP="00C85075">
      <w:pPr>
        <w:spacing w:after="0" w:line="240" w:lineRule="auto"/>
        <w:jc w:val="both"/>
        <w:rPr>
          <w:rFonts w:ascii="Times New Roman" w:hAnsi="Times New Roman"/>
          <w:sz w:val="24"/>
          <w:szCs w:val="24"/>
        </w:rPr>
      </w:pPr>
      <w:r w:rsidRPr="00C85075">
        <w:rPr>
          <w:rFonts w:ascii="Times New Roman" w:hAnsi="Times New Roman"/>
          <w:sz w:val="24"/>
          <w:szCs w:val="24"/>
        </w:rPr>
        <w:t>NOTE PER LA COMPILAZIONE</w:t>
      </w:r>
    </w:p>
    <w:p w:rsidR="006306E2" w:rsidRPr="00C85075" w:rsidRDefault="006306E2" w:rsidP="00C85075">
      <w:pPr>
        <w:spacing w:after="0" w:line="240" w:lineRule="auto"/>
        <w:jc w:val="both"/>
        <w:rPr>
          <w:rFonts w:ascii="Times New Roman" w:hAnsi="Times New Roman"/>
          <w:sz w:val="24"/>
          <w:szCs w:val="24"/>
        </w:rPr>
      </w:pPr>
      <w:r w:rsidRPr="00C85075">
        <w:rPr>
          <w:rFonts w:ascii="Times New Roman" w:hAnsi="Times New Roman"/>
          <w:sz w:val="24"/>
          <w:szCs w:val="24"/>
        </w:rPr>
        <w:t xml:space="preserve"> </w:t>
      </w:r>
    </w:p>
    <w:p w:rsidR="006306E2" w:rsidRPr="00C85075" w:rsidRDefault="006306E2" w:rsidP="00C85075">
      <w:pPr>
        <w:spacing w:after="0" w:line="240" w:lineRule="auto"/>
        <w:jc w:val="both"/>
        <w:rPr>
          <w:rFonts w:ascii="Times New Roman" w:hAnsi="Times New Roman"/>
          <w:sz w:val="24"/>
          <w:szCs w:val="24"/>
        </w:rPr>
      </w:pPr>
      <w:r w:rsidRPr="00C85075">
        <w:rPr>
          <w:rFonts w:ascii="Times New Roman" w:hAnsi="Times New Roman"/>
          <w:sz w:val="24"/>
          <w:szCs w:val="24"/>
          <w:u w:val="single"/>
        </w:rPr>
        <w:t>AVVERTENZA</w:t>
      </w:r>
    </w:p>
    <w:p w:rsidR="006306E2" w:rsidRPr="00C85075" w:rsidRDefault="006306E2" w:rsidP="00C85075">
      <w:pPr>
        <w:spacing w:after="0" w:line="240" w:lineRule="auto"/>
        <w:jc w:val="both"/>
        <w:rPr>
          <w:rFonts w:ascii="Times New Roman" w:hAnsi="Times New Roman"/>
          <w:sz w:val="24"/>
          <w:szCs w:val="24"/>
        </w:rPr>
      </w:pPr>
    </w:p>
    <w:p w:rsidR="006306E2" w:rsidRPr="00C85075" w:rsidRDefault="006306E2" w:rsidP="00C85075">
      <w:pPr>
        <w:spacing w:after="0" w:line="240" w:lineRule="auto"/>
        <w:jc w:val="both"/>
        <w:rPr>
          <w:rFonts w:ascii="Times New Roman" w:hAnsi="Times New Roman"/>
          <w:sz w:val="24"/>
          <w:szCs w:val="24"/>
        </w:rPr>
      </w:pPr>
      <w:r w:rsidRPr="00C85075">
        <w:rPr>
          <w:rFonts w:ascii="Times New Roman" w:hAnsi="Times New Roman"/>
          <w:sz w:val="24"/>
          <w:szCs w:val="24"/>
        </w:rPr>
        <w:t>N.B. L’Offerta Tecnica deve essere sottoscritta dal rappresentante legale del soggetto partecipante ovvero dal procuratore speciale allegando copia di un documento di identità del firmatario.</w:t>
      </w:r>
    </w:p>
    <w:p w:rsidR="006306E2" w:rsidRPr="00C85075" w:rsidRDefault="006306E2" w:rsidP="00C85075">
      <w:pPr>
        <w:spacing w:after="0" w:line="240" w:lineRule="auto"/>
        <w:jc w:val="both"/>
        <w:rPr>
          <w:rFonts w:ascii="Times New Roman" w:hAnsi="Times New Roman"/>
          <w:sz w:val="24"/>
          <w:szCs w:val="24"/>
        </w:rPr>
      </w:pPr>
    </w:p>
    <w:p w:rsidR="006306E2" w:rsidRPr="00C85075" w:rsidRDefault="006306E2" w:rsidP="00C85075">
      <w:pPr>
        <w:spacing w:after="0" w:line="240" w:lineRule="auto"/>
        <w:jc w:val="both"/>
        <w:rPr>
          <w:rFonts w:ascii="Times New Roman" w:hAnsi="Times New Roman"/>
          <w:sz w:val="24"/>
          <w:szCs w:val="24"/>
          <w:u w:val="single"/>
        </w:rPr>
      </w:pPr>
      <w:r w:rsidRPr="00C85075">
        <w:rPr>
          <w:rFonts w:ascii="Times New Roman" w:hAnsi="Times New Roman"/>
          <w:sz w:val="24"/>
          <w:szCs w:val="24"/>
        </w:rPr>
        <w:t xml:space="preserve">N.B. </w:t>
      </w:r>
      <w:r w:rsidRPr="00C85075">
        <w:rPr>
          <w:rFonts w:ascii="Times New Roman" w:hAnsi="Times New Roman"/>
          <w:sz w:val="24"/>
          <w:szCs w:val="24"/>
          <w:u w:val="single"/>
        </w:rPr>
        <w:t>In caso di Consorzio ordinario o RTI - NON ANCORA COSTITUITI – l’OFFERTA deve essere sottoscritta da tutti i soggetti che costituiranno il Consorzio ordinario o il RTI.</w:t>
      </w:r>
    </w:p>
    <w:p w:rsidR="006306E2" w:rsidRPr="00C85075" w:rsidRDefault="006306E2" w:rsidP="00C85075">
      <w:pPr>
        <w:spacing w:after="0" w:line="240" w:lineRule="auto"/>
        <w:jc w:val="both"/>
        <w:rPr>
          <w:rFonts w:ascii="Times New Roman" w:hAnsi="Times New Roman"/>
          <w:sz w:val="24"/>
          <w:szCs w:val="24"/>
        </w:rPr>
      </w:pPr>
    </w:p>
    <w:sectPr w:rsidR="006306E2" w:rsidRPr="00C85075" w:rsidSect="00C85075">
      <w:footerReference w:type="default" r:id="rId8"/>
      <w:pgSz w:w="11906" w:h="16838"/>
      <w:pgMar w:top="1135" w:right="991" w:bottom="1134" w:left="1276"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946" w:rsidRDefault="00970946">
      <w:pPr>
        <w:spacing w:after="0" w:line="240" w:lineRule="auto"/>
      </w:pPr>
      <w:r>
        <w:separator/>
      </w:r>
    </w:p>
  </w:endnote>
  <w:endnote w:type="continuationSeparator" w:id="0">
    <w:p w:rsidR="00970946" w:rsidRDefault="0097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gsanaUPC">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altName w:val="Arial"/>
    <w:panose1 w:val="020B0604020202020204"/>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D5F" w:rsidRDefault="00EA7D5F">
    <w:pPr>
      <w:spacing w:after="0" w:line="240" w:lineRule="auto"/>
      <w:jc w:val="center"/>
      <w:rPr>
        <w:rFonts w:ascii="Times New Roman" w:hAnsi="Times New Roman"/>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946" w:rsidRDefault="00970946">
      <w:pPr>
        <w:spacing w:after="0" w:line="240" w:lineRule="auto"/>
      </w:pPr>
      <w:r>
        <w:separator/>
      </w:r>
    </w:p>
  </w:footnote>
  <w:footnote w:type="continuationSeparator" w:id="0">
    <w:p w:rsidR="00970946" w:rsidRDefault="009709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E4F"/>
    <w:multiLevelType w:val="hybridMultilevel"/>
    <w:tmpl w:val="15B29D8C"/>
    <w:lvl w:ilvl="0" w:tplc="DE32BFF4">
      <w:numFmt w:val="bullet"/>
      <w:lvlText w:val="•"/>
      <w:lvlJc w:val="left"/>
      <w:pPr>
        <w:ind w:left="720" w:hanging="360"/>
      </w:pPr>
      <w:rPr>
        <w:rFonts w:ascii="AngsanaUPC" w:eastAsia="AngsanaUPC" w:hAnsi="AngsanaUPC" w:cs="AngsanaUP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120EEE"/>
    <w:multiLevelType w:val="multilevel"/>
    <w:tmpl w:val="CA800BFE"/>
    <w:lvl w:ilvl="0">
      <w:start w:val="1"/>
      <w:numFmt w:val="decimal"/>
      <w:lvlText w:val="%1."/>
      <w:lvlJc w:val="left"/>
      <w:pPr>
        <w:ind w:left="0" w:hanging="360"/>
      </w:pPr>
      <w:rPr>
        <w:rFonts w:ascii="Verdana" w:hAnsi="Verdana" w:cs="Calibri"/>
        <w:i w:val="0"/>
        <w:sz w:val="16"/>
      </w:r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2" w15:restartNumberingAfterBreak="0">
    <w:nsid w:val="05CF0326"/>
    <w:multiLevelType w:val="hybridMultilevel"/>
    <w:tmpl w:val="DB04C632"/>
    <w:lvl w:ilvl="0" w:tplc="AEAA4A96">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69B1E10"/>
    <w:multiLevelType w:val="hybridMultilevel"/>
    <w:tmpl w:val="B82E7498"/>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88E7338"/>
    <w:multiLevelType w:val="hybridMultilevel"/>
    <w:tmpl w:val="FB687E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98487C"/>
    <w:multiLevelType w:val="multilevel"/>
    <w:tmpl w:val="E09ECF3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B75344"/>
    <w:multiLevelType w:val="multilevel"/>
    <w:tmpl w:val="1B36343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530224D"/>
    <w:multiLevelType w:val="multilevel"/>
    <w:tmpl w:val="80CC7A10"/>
    <w:lvl w:ilvl="0">
      <w:start w:val="1"/>
      <w:numFmt w:val="lowerLetter"/>
      <w:lvlText w:val="%1)"/>
      <w:lvlJc w:val="left"/>
      <w:rPr>
        <w:rFonts w:ascii="AngsanaUPC" w:eastAsia="AngsanaUPC" w:hAnsi="AngsanaUPC" w:cs="AngsanaUPC"/>
        <w:b w:val="0"/>
        <w:bCs/>
        <w:i w:val="0"/>
        <w:iCs w:val="0"/>
        <w:smallCaps w:val="0"/>
        <w:strike w:val="0"/>
        <w:color w:val="000000"/>
        <w:spacing w:val="0"/>
        <w:w w:val="100"/>
        <w:position w:val="0"/>
        <w:sz w:val="30"/>
        <w:szCs w:val="3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AF79E4"/>
    <w:multiLevelType w:val="hybridMultilevel"/>
    <w:tmpl w:val="FB687E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D9C4DE6"/>
    <w:multiLevelType w:val="hybridMultilevel"/>
    <w:tmpl w:val="0F1629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B60839"/>
    <w:multiLevelType w:val="multilevel"/>
    <w:tmpl w:val="3B26AE40"/>
    <w:lvl w:ilvl="0">
      <w:start w:val="1"/>
      <w:numFmt w:val="bullet"/>
      <w:lvlText w:val="•"/>
      <w:lvlJc w:val="left"/>
      <w:rPr>
        <w:rFonts w:ascii="AngsanaUPC" w:eastAsia="AngsanaUPC" w:hAnsi="AngsanaUPC" w:cs="AngsanaUPC"/>
        <w:b/>
        <w:bCs/>
        <w:i w:val="0"/>
        <w:iCs w:val="0"/>
        <w:smallCaps w:val="0"/>
        <w:strike w:val="0"/>
        <w:color w:val="000000"/>
        <w:spacing w:val="0"/>
        <w:w w:val="100"/>
        <w:position w:val="0"/>
        <w:sz w:val="30"/>
        <w:szCs w:val="3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D66691"/>
    <w:multiLevelType w:val="hybridMultilevel"/>
    <w:tmpl w:val="9D5A1F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10"/>
  </w:num>
  <w:num w:numId="5">
    <w:abstractNumId w:val="7"/>
  </w:num>
  <w:num w:numId="6">
    <w:abstractNumId w:val="0"/>
  </w:num>
  <w:num w:numId="7">
    <w:abstractNumId w:val="11"/>
  </w:num>
  <w:num w:numId="8">
    <w:abstractNumId w:val="2"/>
  </w:num>
  <w:num w:numId="9">
    <w:abstractNumId w:val="8"/>
  </w:num>
  <w:num w:numId="10">
    <w:abstractNumId w:val="4"/>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7D5F"/>
    <w:rsid w:val="00051349"/>
    <w:rsid w:val="000E3A62"/>
    <w:rsid w:val="000F0A1B"/>
    <w:rsid w:val="00104A9A"/>
    <w:rsid w:val="001412A4"/>
    <w:rsid w:val="00141C39"/>
    <w:rsid w:val="00146B21"/>
    <w:rsid w:val="00177513"/>
    <w:rsid w:val="001F169E"/>
    <w:rsid w:val="001F3147"/>
    <w:rsid w:val="0024206B"/>
    <w:rsid w:val="00261026"/>
    <w:rsid w:val="002C1757"/>
    <w:rsid w:val="002D548F"/>
    <w:rsid w:val="00331A3B"/>
    <w:rsid w:val="00383A74"/>
    <w:rsid w:val="0041706E"/>
    <w:rsid w:val="00427334"/>
    <w:rsid w:val="00432941"/>
    <w:rsid w:val="00447FC2"/>
    <w:rsid w:val="004C32F5"/>
    <w:rsid w:val="004D0FD8"/>
    <w:rsid w:val="00507839"/>
    <w:rsid w:val="005143F3"/>
    <w:rsid w:val="0051553B"/>
    <w:rsid w:val="00532509"/>
    <w:rsid w:val="005603EB"/>
    <w:rsid w:val="00563118"/>
    <w:rsid w:val="00581589"/>
    <w:rsid w:val="005945D9"/>
    <w:rsid w:val="00597D2E"/>
    <w:rsid w:val="006306E2"/>
    <w:rsid w:val="00634049"/>
    <w:rsid w:val="00715C4B"/>
    <w:rsid w:val="0073688E"/>
    <w:rsid w:val="00741B94"/>
    <w:rsid w:val="007467D6"/>
    <w:rsid w:val="00775FE9"/>
    <w:rsid w:val="007C141D"/>
    <w:rsid w:val="007D512D"/>
    <w:rsid w:val="00841FC2"/>
    <w:rsid w:val="00970946"/>
    <w:rsid w:val="009801C0"/>
    <w:rsid w:val="009C4888"/>
    <w:rsid w:val="00A40625"/>
    <w:rsid w:val="00A75019"/>
    <w:rsid w:val="00A820C0"/>
    <w:rsid w:val="00A97554"/>
    <w:rsid w:val="00B02292"/>
    <w:rsid w:val="00B2349A"/>
    <w:rsid w:val="00B736C7"/>
    <w:rsid w:val="00B915F8"/>
    <w:rsid w:val="00C16EA2"/>
    <w:rsid w:val="00C368BF"/>
    <w:rsid w:val="00C500F1"/>
    <w:rsid w:val="00C52616"/>
    <w:rsid w:val="00C60486"/>
    <w:rsid w:val="00C666DA"/>
    <w:rsid w:val="00C85075"/>
    <w:rsid w:val="00CA22BA"/>
    <w:rsid w:val="00CF6B60"/>
    <w:rsid w:val="00D353F6"/>
    <w:rsid w:val="00D37B97"/>
    <w:rsid w:val="00D439D1"/>
    <w:rsid w:val="00D615E7"/>
    <w:rsid w:val="00D8091B"/>
    <w:rsid w:val="00DA468B"/>
    <w:rsid w:val="00DB4B7F"/>
    <w:rsid w:val="00DD17E2"/>
    <w:rsid w:val="00EA7D5F"/>
    <w:rsid w:val="00EB2828"/>
    <w:rsid w:val="00EC6683"/>
    <w:rsid w:val="00F80596"/>
    <w:rsid w:val="00F8795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8A499"/>
  <w15:docId w15:val="{1465F1BD-3FA0-4434-B933-2009B3AB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D549D"/>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link w:val="Testofumetto"/>
    <w:uiPriority w:val="99"/>
    <w:semiHidden/>
    <w:qFormat/>
    <w:rsid w:val="00C613C4"/>
    <w:rPr>
      <w:rFonts w:ascii="Tahoma" w:hAnsi="Tahoma" w:cs="Tahoma"/>
      <w:sz w:val="16"/>
      <w:szCs w:val="16"/>
    </w:rPr>
  </w:style>
  <w:style w:type="character" w:customStyle="1" w:styleId="IntestazioneCarattere">
    <w:name w:val="Intestazione Carattere"/>
    <w:basedOn w:val="Carpredefinitoparagrafo"/>
    <w:link w:val="Intestazione"/>
    <w:uiPriority w:val="99"/>
    <w:qFormat/>
    <w:rsid w:val="00C613C4"/>
  </w:style>
  <w:style w:type="character" w:customStyle="1" w:styleId="PidipaginaCarattere">
    <w:name w:val="Piè di pagina Carattere"/>
    <w:basedOn w:val="Carpredefinitoparagrafo"/>
    <w:link w:val="Pidipagina"/>
    <w:uiPriority w:val="99"/>
    <w:qFormat/>
    <w:rsid w:val="00C613C4"/>
  </w:style>
  <w:style w:type="character" w:customStyle="1" w:styleId="CollegamentoInternet">
    <w:name w:val="Collegamento Internet"/>
    <w:uiPriority w:val="99"/>
    <w:unhideWhenUsed/>
    <w:rsid w:val="00286038"/>
    <w:rPr>
      <w:color w:val="0000FF"/>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ascii="Verdana" w:hAnsi="Verdana" w:cs="Calibri"/>
      <w:i w:val="0"/>
      <w:sz w:val="16"/>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b/>
    </w:rPr>
  </w:style>
  <w:style w:type="character" w:customStyle="1" w:styleId="ListLabel25">
    <w:name w:val="ListLabel 25"/>
    <w:qFormat/>
    <w:rPr>
      <w:rFonts w:ascii="Verdana" w:hAnsi="Verdana" w:cs="Calibri"/>
      <w:i w:val="0"/>
      <w:sz w:val="16"/>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fumetto">
    <w:name w:val="Balloon Text"/>
    <w:basedOn w:val="Normale"/>
    <w:link w:val="TestofumettoCarattere"/>
    <w:uiPriority w:val="99"/>
    <w:semiHidden/>
    <w:unhideWhenUsed/>
    <w:qFormat/>
    <w:rsid w:val="00C613C4"/>
    <w:pPr>
      <w:spacing w:after="0" w:line="240" w:lineRule="auto"/>
    </w:pPr>
    <w:rPr>
      <w:rFonts w:ascii="Tahoma" w:hAnsi="Tahoma" w:cs="Tahoma"/>
      <w:sz w:val="16"/>
      <w:szCs w:val="16"/>
    </w:rPr>
  </w:style>
  <w:style w:type="paragraph" w:styleId="Intestazione">
    <w:name w:val="header"/>
    <w:basedOn w:val="Normale"/>
    <w:link w:val="IntestazioneCarattere"/>
    <w:uiPriority w:val="99"/>
    <w:unhideWhenUsed/>
    <w:rsid w:val="00C613C4"/>
    <w:pPr>
      <w:tabs>
        <w:tab w:val="center" w:pos="4819"/>
        <w:tab w:val="right" w:pos="9638"/>
      </w:tabs>
      <w:spacing w:after="0" w:line="240" w:lineRule="auto"/>
    </w:pPr>
  </w:style>
  <w:style w:type="paragraph" w:styleId="Pidipagina">
    <w:name w:val="footer"/>
    <w:basedOn w:val="Normale"/>
    <w:link w:val="PidipaginaCarattere"/>
    <w:uiPriority w:val="99"/>
    <w:unhideWhenUsed/>
    <w:rsid w:val="00C613C4"/>
    <w:pPr>
      <w:tabs>
        <w:tab w:val="center" w:pos="4819"/>
        <w:tab w:val="right" w:pos="9638"/>
      </w:tabs>
      <w:spacing w:after="0" w:line="240" w:lineRule="auto"/>
    </w:pPr>
  </w:style>
  <w:style w:type="table" w:styleId="Grigliatabella">
    <w:name w:val="Table Grid"/>
    <w:basedOn w:val="Tabellanormale"/>
    <w:uiPriority w:val="59"/>
    <w:rsid w:val="00C613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104A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04A9A"/>
    <w:rPr>
      <w:lang w:eastAsia="en-US"/>
    </w:rPr>
  </w:style>
  <w:style w:type="character" w:styleId="Rimandonotaapidipagina">
    <w:name w:val="footnote reference"/>
    <w:basedOn w:val="Carpredefinitoparagrafo"/>
    <w:uiPriority w:val="99"/>
    <w:semiHidden/>
    <w:unhideWhenUsed/>
    <w:rsid w:val="00104A9A"/>
    <w:rPr>
      <w:vertAlign w:val="superscript"/>
    </w:rPr>
  </w:style>
  <w:style w:type="paragraph" w:customStyle="1" w:styleId="Default">
    <w:name w:val="Default"/>
    <w:rsid w:val="006306E2"/>
    <w:pPr>
      <w:autoSpaceDE w:val="0"/>
      <w:autoSpaceDN w:val="0"/>
      <w:adjustRightInd w:val="0"/>
    </w:pPr>
    <w:rPr>
      <w:rFonts w:ascii="Verdana" w:hAnsi="Verdana" w:cs="Verdana"/>
      <w:color w:val="000000"/>
      <w:sz w:val="24"/>
      <w:szCs w:val="24"/>
      <w:lang w:eastAsia="en-US"/>
    </w:rPr>
  </w:style>
  <w:style w:type="paragraph" w:styleId="Paragrafoelenco">
    <w:name w:val="List Paragraph"/>
    <w:basedOn w:val="Normale"/>
    <w:uiPriority w:val="34"/>
    <w:qFormat/>
    <w:rsid w:val="006306E2"/>
    <w:pPr>
      <w:spacing w:after="0" w:line="240" w:lineRule="auto"/>
      <w:ind w:left="708"/>
    </w:pPr>
    <w:rPr>
      <w:rFonts w:ascii="Arial Unicode MS" w:eastAsia="Arial Unicode MS" w:hAnsi="Arial Unicode MS" w:cs="Arial Unicode MS"/>
      <w:color w:val="000000"/>
      <w:sz w:val="24"/>
      <w:szCs w:val="24"/>
      <w:lang w:val="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410103">
      <w:bodyDiv w:val="1"/>
      <w:marLeft w:val="0"/>
      <w:marRight w:val="0"/>
      <w:marTop w:val="0"/>
      <w:marBottom w:val="0"/>
      <w:divBdr>
        <w:top w:val="none" w:sz="0" w:space="0" w:color="auto"/>
        <w:left w:val="none" w:sz="0" w:space="0" w:color="auto"/>
        <w:bottom w:val="none" w:sz="0" w:space="0" w:color="auto"/>
        <w:right w:val="none" w:sz="0" w:space="0" w:color="auto"/>
      </w:divBdr>
    </w:div>
    <w:div w:id="1858537758">
      <w:bodyDiv w:val="1"/>
      <w:marLeft w:val="0"/>
      <w:marRight w:val="0"/>
      <w:marTop w:val="0"/>
      <w:marBottom w:val="0"/>
      <w:divBdr>
        <w:top w:val="none" w:sz="0" w:space="0" w:color="auto"/>
        <w:left w:val="none" w:sz="0" w:space="0" w:color="auto"/>
        <w:bottom w:val="none" w:sz="0" w:space="0" w:color="auto"/>
        <w:right w:val="none" w:sz="0" w:space="0" w:color="auto"/>
      </w:divBdr>
    </w:div>
    <w:div w:id="1968775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D9CA9-DDF7-4D2F-AE2E-4C8B72856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5</Pages>
  <Words>1872</Words>
  <Characters>10675</Characters>
  <Application>Microsoft Office Word</Application>
  <DocSecurity>0</DocSecurity>
  <Lines>88</Lines>
  <Paragraphs>25</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12522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Ennio Mario Sodano</dc:creator>
  <cp:lastModifiedBy>dpp1045585@dippp.interno.it</cp:lastModifiedBy>
  <cp:revision>13</cp:revision>
  <cp:lastPrinted>2024-05-16T13:58:00Z</cp:lastPrinted>
  <dcterms:created xsi:type="dcterms:W3CDTF">2024-07-09T16:27:00Z</dcterms:created>
  <dcterms:modified xsi:type="dcterms:W3CDTF">2024-11-11T16:59:00Z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LABSCCMPS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