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C117" w14:textId="77777777" w:rsidR="001A0BE2" w:rsidRPr="00A85D84" w:rsidRDefault="001A0BE2" w:rsidP="00B13B7A">
      <w:pPr>
        <w:jc w:val="both"/>
        <w:rPr>
          <w:b/>
          <w:bCs/>
        </w:rPr>
      </w:pPr>
      <w:r w:rsidRPr="00A85D84">
        <w:rPr>
          <w:b/>
          <w:bCs/>
        </w:rPr>
        <w:t xml:space="preserve">Quesiti: </w:t>
      </w:r>
    </w:p>
    <w:p w14:paraId="19EDBABF" w14:textId="7E752238" w:rsidR="001A0BE2" w:rsidRPr="001A0BE2" w:rsidRDefault="001A0BE2" w:rsidP="001A0BE2">
      <w:pPr>
        <w:spacing w:after="0"/>
        <w:jc w:val="both"/>
        <w:rPr>
          <w:b/>
          <w:bCs/>
        </w:rPr>
      </w:pPr>
      <w:r w:rsidRPr="001A0BE2">
        <w:rPr>
          <w:b/>
          <w:bCs/>
        </w:rPr>
        <w:t xml:space="preserve">1.1 D: Le custodie devono avere sede all'interno della Provincia di Chieti? </w:t>
      </w:r>
    </w:p>
    <w:p w14:paraId="42DF3B38" w14:textId="77777777" w:rsidR="001A0BE2" w:rsidRDefault="001A0BE2" w:rsidP="00B13B7A">
      <w:pPr>
        <w:jc w:val="both"/>
      </w:pPr>
      <w:r>
        <w:t xml:space="preserve">R: Si, i depositi devono essere ubicati esclusivamente nel territorio della provincia di Chieti. </w:t>
      </w:r>
    </w:p>
    <w:p w14:paraId="6EB10BC9" w14:textId="77777777" w:rsidR="001A0BE2" w:rsidRPr="001A0BE2" w:rsidRDefault="001A0BE2" w:rsidP="001A0BE2">
      <w:pPr>
        <w:spacing w:after="0"/>
        <w:jc w:val="both"/>
        <w:rPr>
          <w:b/>
          <w:bCs/>
        </w:rPr>
      </w:pPr>
      <w:r w:rsidRPr="001A0BE2">
        <w:rPr>
          <w:b/>
          <w:bCs/>
        </w:rPr>
        <w:t xml:space="preserve">1.2 D: Il custode acquirente può avere sede in una provincia vicina (L’Aquila e/o Pescara)? </w:t>
      </w:r>
    </w:p>
    <w:p w14:paraId="31D97548" w14:textId="77777777" w:rsidR="001A0BE2" w:rsidRDefault="001A0BE2" w:rsidP="00B13B7A">
      <w:pPr>
        <w:jc w:val="both"/>
      </w:pPr>
      <w:r>
        <w:t xml:space="preserve">R: Si, il custode acquirente può avere sede legale in altra provincia diversa da quella di Chieti. </w:t>
      </w:r>
    </w:p>
    <w:p w14:paraId="4B867506" w14:textId="77777777" w:rsidR="001A0BE2" w:rsidRDefault="001A0BE2" w:rsidP="00B13B7A">
      <w:pPr>
        <w:jc w:val="both"/>
      </w:pPr>
      <w:r w:rsidRPr="001A0BE2">
        <w:rPr>
          <w:b/>
          <w:bCs/>
        </w:rPr>
        <w:t>1.3 D: Il demolitore/rottamatore può avere sede in una Provincia vicina (L'Aquila e/o Pescara)?</w:t>
      </w:r>
      <w:r>
        <w:t xml:space="preserve"> R: Si, il demolitore/rottamatore può avere sede legale in altra provincia diversa da quella di Chieti. </w:t>
      </w:r>
    </w:p>
    <w:p w14:paraId="312D34CE" w14:textId="77777777" w:rsidR="001A0BE2" w:rsidRPr="001A0BE2" w:rsidRDefault="001A0BE2" w:rsidP="001A0BE2">
      <w:pPr>
        <w:spacing w:after="0"/>
        <w:jc w:val="both"/>
        <w:rPr>
          <w:b/>
          <w:bCs/>
        </w:rPr>
      </w:pPr>
      <w:r w:rsidRPr="001A0BE2">
        <w:rPr>
          <w:b/>
          <w:bCs/>
        </w:rPr>
        <w:t>2. D: Il requisito di capacità tecnica e professionale previsto al punto 6.3 del Disciplinare di gara in ordine all’integrale recinzione dell’area destinata a deposito dei veicoli deve essere inteso quale requisito di partecipazione, quindi da possedere sin dal momento del deposito dell'offerta di gara, ovvero quale requisito di esecuzione, quindi</w:t>
      </w:r>
      <w:r w:rsidRPr="001A0BE2">
        <w:rPr>
          <w:b/>
          <w:bCs/>
        </w:rPr>
        <w:t xml:space="preserve"> </w:t>
      </w:r>
      <w:r w:rsidRPr="001A0BE2">
        <w:rPr>
          <w:b/>
          <w:bCs/>
        </w:rPr>
        <w:t xml:space="preserve">conseguibile dall’eventuale aggiudicatario in vista dell’avvio del servizio? </w:t>
      </w:r>
    </w:p>
    <w:p w14:paraId="3A9E6F9C" w14:textId="77777777" w:rsidR="001A0BE2" w:rsidRDefault="001A0BE2" w:rsidP="00B13B7A">
      <w:pPr>
        <w:jc w:val="both"/>
      </w:pPr>
      <w:r>
        <w:t xml:space="preserve">R: L’integrale recinzione dell’area destinata a deposito dei veicoli deve essere intesa quale requisito di partecipazione da possedere sin dal momento del deposito dell'offerta di gara. </w:t>
      </w:r>
    </w:p>
    <w:p w14:paraId="023A5EAB" w14:textId="77777777" w:rsidR="001A0BE2" w:rsidRPr="001A0BE2" w:rsidRDefault="001A0BE2" w:rsidP="001A0BE2">
      <w:pPr>
        <w:spacing w:after="0"/>
        <w:jc w:val="both"/>
        <w:rPr>
          <w:b/>
          <w:bCs/>
        </w:rPr>
      </w:pPr>
      <w:r w:rsidRPr="001A0BE2">
        <w:rPr>
          <w:b/>
          <w:bCs/>
        </w:rPr>
        <w:t xml:space="preserve">3. D: Si chiede di chiarire se la relazione del tecnico abilitato, prevista al punto 14.2.3, debba essere asseverata. </w:t>
      </w:r>
    </w:p>
    <w:p w14:paraId="22BE0732" w14:textId="77777777" w:rsidR="001A0BE2" w:rsidRDefault="001A0BE2" w:rsidP="00B13B7A">
      <w:pPr>
        <w:jc w:val="both"/>
      </w:pPr>
      <w:r>
        <w:t>R: No, la relazione del tecnico abilitato, prevista al punto 14.2.3, non è specificatamente prevista che sia asseverata anche se sarebbe auspicabile che sia attestata in tale forma.</w:t>
      </w:r>
    </w:p>
    <w:p w14:paraId="405E405D" w14:textId="6D9B8546" w:rsidR="001A0BE2" w:rsidRPr="001A0BE2" w:rsidRDefault="001A0BE2" w:rsidP="001A0BE2">
      <w:pPr>
        <w:spacing w:after="0"/>
        <w:jc w:val="both"/>
        <w:rPr>
          <w:b/>
          <w:bCs/>
        </w:rPr>
      </w:pPr>
      <w:r w:rsidRPr="001A0BE2">
        <w:rPr>
          <w:b/>
          <w:bCs/>
        </w:rPr>
        <w:t xml:space="preserve"> 4. D: Il ruolo di capofila può essere assunto dal demolitore, che abbia sede in una provincia diversa (L'</w:t>
      </w:r>
      <w:proofErr w:type="spellStart"/>
      <w:r w:rsidRPr="001A0BE2">
        <w:rPr>
          <w:b/>
          <w:bCs/>
        </w:rPr>
        <w:t>AquiIa</w:t>
      </w:r>
      <w:proofErr w:type="spellEnd"/>
      <w:r w:rsidRPr="001A0BE2">
        <w:rPr>
          <w:b/>
          <w:bCs/>
        </w:rPr>
        <w:t xml:space="preserve">), che non sia custode? </w:t>
      </w:r>
    </w:p>
    <w:p w14:paraId="60862719" w14:textId="6F26D8F6" w:rsidR="001A0BE2" w:rsidRPr="00625DD2" w:rsidRDefault="001A0BE2" w:rsidP="00B13B7A">
      <w:pPr>
        <w:jc w:val="both"/>
        <w:rPr>
          <w:b/>
          <w:bCs/>
        </w:rPr>
      </w:pPr>
      <w:r>
        <w:t>R: Si, il ruolo di capofila può essere assunto dal demolitore che abbia sede in una provincia diversa.</w:t>
      </w:r>
    </w:p>
    <w:sectPr w:rsidR="001A0BE2" w:rsidRPr="00625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0B91"/>
    <w:multiLevelType w:val="hybridMultilevel"/>
    <w:tmpl w:val="C8F2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B52"/>
    <w:multiLevelType w:val="hybridMultilevel"/>
    <w:tmpl w:val="C136E2B8"/>
    <w:lvl w:ilvl="0" w:tplc="6C7A0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C4AAD"/>
    <w:multiLevelType w:val="hybridMultilevel"/>
    <w:tmpl w:val="951C0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665333">
    <w:abstractNumId w:val="2"/>
  </w:num>
  <w:num w:numId="2" w16cid:durableId="2123112654">
    <w:abstractNumId w:val="1"/>
  </w:num>
  <w:num w:numId="3" w16cid:durableId="17403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1"/>
    <w:rsid w:val="00010694"/>
    <w:rsid w:val="000F33F2"/>
    <w:rsid w:val="001760E2"/>
    <w:rsid w:val="001A0BE2"/>
    <w:rsid w:val="00590501"/>
    <w:rsid w:val="005D51D1"/>
    <w:rsid w:val="00625DD2"/>
    <w:rsid w:val="008505F0"/>
    <w:rsid w:val="00960ABA"/>
    <w:rsid w:val="009C6854"/>
    <w:rsid w:val="00A85D84"/>
    <w:rsid w:val="00A944E8"/>
    <w:rsid w:val="00B13B7A"/>
    <w:rsid w:val="00B718B8"/>
    <w:rsid w:val="00C2628D"/>
    <w:rsid w:val="00C73204"/>
    <w:rsid w:val="00C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F7F0"/>
  <w15:chartTrackingRefBased/>
  <w15:docId w15:val="{3AD3AA3C-3BCE-4446-8B1E-3F1CB55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5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5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5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5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5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5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5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5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5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5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5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51D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51D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51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51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51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51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5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5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5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51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51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51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5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51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51D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96C7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gianfranco.attili@interno.gov.it</dc:creator>
  <cp:keywords/>
  <dc:description/>
  <cp:lastModifiedBy>gianfranco.attili@interno.gov.it</cp:lastModifiedBy>
  <cp:revision>2</cp:revision>
  <dcterms:created xsi:type="dcterms:W3CDTF">2024-11-19T13:40:00Z</dcterms:created>
  <dcterms:modified xsi:type="dcterms:W3CDTF">2024-11-19T13:40:00Z</dcterms:modified>
</cp:coreProperties>
</file>